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5E" w:rsidRPr="00BC22F7" w:rsidRDefault="00871E8B" w:rsidP="008A026D">
      <w:pPr>
        <w:spacing w:after="0" w:line="240" w:lineRule="auto"/>
        <w:jc w:val="center"/>
        <w:rPr>
          <w:rFonts w:ascii="Tahoma" w:hAnsi="Tahoma" w:cs="Tahoma"/>
          <w:sz w:val="23"/>
          <w:szCs w:val="23"/>
        </w:rPr>
      </w:pPr>
      <w:r w:rsidRPr="00BC22F7">
        <w:rPr>
          <w:rFonts w:ascii="Tahoma" w:hAnsi="Tahoma" w:cs="Tahoma"/>
          <w:sz w:val="23"/>
          <w:szCs w:val="23"/>
        </w:rPr>
        <w:t xml:space="preserve">Toward representative bureaucracy: </w:t>
      </w:r>
    </w:p>
    <w:p w:rsidR="003D498D" w:rsidRPr="00BC22F7" w:rsidRDefault="00871E8B" w:rsidP="008A026D">
      <w:pPr>
        <w:spacing w:after="0" w:line="240" w:lineRule="auto"/>
        <w:jc w:val="center"/>
        <w:rPr>
          <w:rFonts w:ascii="Tahoma" w:hAnsi="Tahoma" w:cs="Tahoma"/>
          <w:sz w:val="23"/>
          <w:szCs w:val="23"/>
        </w:rPr>
      </w:pPr>
      <w:r w:rsidRPr="00BC22F7">
        <w:rPr>
          <w:rFonts w:ascii="Tahoma" w:hAnsi="Tahoma" w:cs="Tahoma"/>
          <w:sz w:val="23"/>
          <w:szCs w:val="23"/>
        </w:rPr>
        <w:t xml:space="preserve">Predicting public service attraction among </w:t>
      </w:r>
      <w:r w:rsidR="006C7DD2" w:rsidRPr="00BC22F7">
        <w:rPr>
          <w:rFonts w:ascii="Tahoma" w:hAnsi="Tahoma" w:cs="Tahoma"/>
          <w:sz w:val="23"/>
          <w:szCs w:val="23"/>
        </w:rPr>
        <w:t xml:space="preserve">underrepresented </w:t>
      </w:r>
      <w:r w:rsidRPr="00BC22F7">
        <w:rPr>
          <w:rFonts w:ascii="Tahoma" w:hAnsi="Tahoma" w:cs="Tahoma"/>
          <w:sz w:val="23"/>
          <w:szCs w:val="23"/>
        </w:rPr>
        <w:t>groups</w:t>
      </w:r>
      <w:r w:rsidR="00A83345" w:rsidRPr="00BC22F7">
        <w:rPr>
          <w:rFonts w:ascii="Tahoma" w:hAnsi="Tahoma" w:cs="Tahoma"/>
          <w:sz w:val="23"/>
          <w:szCs w:val="23"/>
        </w:rPr>
        <w:t xml:space="preserve"> in Canada</w:t>
      </w:r>
    </w:p>
    <w:p w:rsidR="00871E8B" w:rsidRPr="00BC22F7" w:rsidRDefault="00871E8B" w:rsidP="008A026D">
      <w:pPr>
        <w:spacing w:after="0" w:line="240" w:lineRule="auto"/>
        <w:rPr>
          <w:rFonts w:ascii="Tahoma" w:hAnsi="Tahoma" w:cs="Tahoma"/>
          <w:sz w:val="23"/>
          <w:szCs w:val="23"/>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253"/>
      </w:tblGrid>
      <w:tr w:rsidR="0042125E" w:rsidRPr="00BC22F7" w:rsidTr="00F63AC9">
        <w:trPr>
          <w:jc w:val="center"/>
        </w:trPr>
        <w:tc>
          <w:tcPr>
            <w:tcW w:w="4253" w:type="dxa"/>
          </w:tcPr>
          <w:p w:rsidR="0042125E" w:rsidRPr="00BC22F7" w:rsidRDefault="0042125E" w:rsidP="008A026D">
            <w:pPr>
              <w:jc w:val="center"/>
              <w:rPr>
                <w:rFonts w:ascii="Tahoma" w:hAnsi="Tahoma" w:cs="Tahoma"/>
                <w:sz w:val="23"/>
                <w:szCs w:val="23"/>
              </w:rPr>
            </w:pPr>
            <w:r w:rsidRPr="00BC22F7">
              <w:rPr>
                <w:rFonts w:ascii="Tahoma" w:hAnsi="Tahoma" w:cs="Tahoma"/>
                <w:sz w:val="23"/>
                <w:szCs w:val="23"/>
              </w:rPr>
              <w:t>Eddy S. Ng</w:t>
            </w:r>
          </w:p>
          <w:p w:rsidR="0042125E" w:rsidRPr="00BC22F7" w:rsidRDefault="0042125E" w:rsidP="008A026D">
            <w:pPr>
              <w:jc w:val="center"/>
              <w:rPr>
                <w:rFonts w:ascii="Tahoma" w:hAnsi="Tahoma" w:cs="Tahoma"/>
                <w:sz w:val="23"/>
                <w:szCs w:val="23"/>
              </w:rPr>
            </w:pPr>
            <w:r w:rsidRPr="00BC22F7">
              <w:rPr>
                <w:rFonts w:ascii="Tahoma" w:hAnsi="Tahoma" w:cs="Tahoma"/>
                <w:sz w:val="23"/>
                <w:szCs w:val="23"/>
              </w:rPr>
              <w:t>Dalhousie University</w:t>
            </w:r>
          </w:p>
        </w:tc>
        <w:tc>
          <w:tcPr>
            <w:tcW w:w="4253" w:type="dxa"/>
          </w:tcPr>
          <w:p w:rsidR="0042125E" w:rsidRPr="00BC22F7" w:rsidRDefault="0042125E" w:rsidP="008A026D">
            <w:pPr>
              <w:jc w:val="center"/>
              <w:rPr>
                <w:rFonts w:ascii="Tahoma" w:hAnsi="Tahoma" w:cs="Tahoma"/>
                <w:sz w:val="23"/>
                <w:szCs w:val="23"/>
              </w:rPr>
            </w:pPr>
            <w:r w:rsidRPr="00BC22F7">
              <w:rPr>
                <w:rFonts w:ascii="Tahoma" w:hAnsi="Tahoma" w:cs="Tahoma"/>
                <w:sz w:val="23"/>
                <w:szCs w:val="23"/>
              </w:rPr>
              <w:t>Greg J. Sears</w:t>
            </w:r>
          </w:p>
          <w:p w:rsidR="0042125E" w:rsidRPr="00BC22F7" w:rsidRDefault="0042125E" w:rsidP="008A026D">
            <w:pPr>
              <w:jc w:val="center"/>
              <w:rPr>
                <w:rFonts w:ascii="Tahoma" w:hAnsi="Tahoma" w:cs="Tahoma"/>
                <w:sz w:val="23"/>
                <w:szCs w:val="23"/>
              </w:rPr>
            </w:pPr>
            <w:r w:rsidRPr="00BC22F7">
              <w:rPr>
                <w:rFonts w:ascii="Tahoma" w:hAnsi="Tahoma" w:cs="Tahoma"/>
                <w:sz w:val="23"/>
                <w:szCs w:val="23"/>
              </w:rPr>
              <w:t>Carleton University</w:t>
            </w:r>
          </w:p>
        </w:tc>
      </w:tr>
    </w:tbl>
    <w:p w:rsidR="001714FD" w:rsidRPr="00BC22F7" w:rsidRDefault="001714FD" w:rsidP="008A026D">
      <w:pPr>
        <w:spacing w:after="0" w:line="240" w:lineRule="auto"/>
        <w:rPr>
          <w:rFonts w:ascii="Tahoma" w:hAnsi="Tahoma" w:cs="Tahoma"/>
          <w:sz w:val="23"/>
          <w:szCs w:val="23"/>
        </w:rPr>
      </w:pPr>
    </w:p>
    <w:p w:rsidR="00DB2FFF" w:rsidRPr="00BC22F7" w:rsidRDefault="00EE2463">
      <w:pPr>
        <w:autoSpaceDE w:val="0"/>
        <w:autoSpaceDN w:val="0"/>
        <w:adjustRightInd w:val="0"/>
        <w:spacing w:after="0" w:line="240" w:lineRule="auto"/>
        <w:ind w:firstLine="720"/>
        <w:rPr>
          <w:rFonts w:ascii="Tahoma" w:hAnsi="Tahoma" w:cs="Tahoma"/>
          <w:sz w:val="23"/>
          <w:szCs w:val="23"/>
        </w:rPr>
      </w:pPr>
      <w:r w:rsidRPr="00BC22F7">
        <w:rPr>
          <w:rFonts w:ascii="Tahoma" w:hAnsi="Tahoma" w:cs="Tahoma"/>
          <w:sz w:val="23"/>
          <w:szCs w:val="23"/>
        </w:rPr>
        <w:t xml:space="preserve">A </w:t>
      </w:r>
      <w:r w:rsidR="00931BEE" w:rsidRPr="00BC22F7">
        <w:rPr>
          <w:rFonts w:ascii="Tahoma" w:hAnsi="Tahoma" w:cs="Tahoma"/>
          <w:sz w:val="23"/>
          <w:szCs w:val="23"/>
        </w:rPr>
        <w:t xml:space="preserve">pressing </w:t>
      </w:r>
      <w:r w:rsidRPr="00BC22F7">
        <w:rPr>
          <w:rFonts w:ascii="Tahoma" w:hAnsi="Tahoma" w:cs="Tahoma"/>
          <w:sz w:val="23"/>
          <w:szCs w:val="23"/>
        </w:rPr>
        <w:t xml:space="preserve">challenge for public sector employers is the </w:t>
      </w:r>
      <w:r w:rsidR="007B1B53" w:rsidRPr="00BC22F7">
        <w:rPr>
          <w:rFonts w:ascii="Tahoma" w:hAnsi="Tahoma" w:cs="Tahoma"/>
          <w:sz w:val="23"/>
          <w:szCs w:val="23"/>
        </w:rPr>
        <w:t>issue</w:t>
      </w:r>
      <w:r w:rsidRPr="00BC22F7">
        <w:rPr>
          <w:rFonts w:ascii="Tahoma" w:hAnsi="Tahoma" w:cs="Tahoma"/>
          <w:sz w:val="23"/>
          <w:szCs w:val="23"/>
        </w:rPr>
        <w:t xml:space="preserve"> of how to compete with the private sector in attracting top talent to their organizations. In Canada, this issue is particularly prominent in light of a </w:t>
      </w:r>
      <w:r w:rsidR="00931BEE" w:rsidRPr="00BC22F7">
        <w:rPr>
          <w:rFonts w:ascii="Tahoma" w:hAnsi="Tahoma" w:cs="Tahoma"/>
          <w:sz w:val="23"/>
          <w:szCs w:val="23"/>
        </w:rPr>
        <w:t xml:space="preserve">tightening labor market and a </w:t>
      </w:r>
      <w:r w:rsidR="005E0F0E" w:rsidRPr="00BC22F7">
        <w:rPr>
          <w:rFonts w:ascii="Tahoma" w:hAnsi="Tahoma" w:cs="Tahoma"/>
          <w:sz w:val="23"/>
          <w:szCs w:val="23"/>
        </w:rPr>
        <w:t>looming</w:t>
      </w:r>
      <w:r w:rsidRPr="00BC22F7">
        <w:rPr>
          <w:rFonts w:ascii="Tahoma" w:hAnsi="Tahoma" w:cs="Tahoma"/>
          <w:sz w:val="23"/>
          <w:szCs w:val="23"/>
        </w:rPr>
        <w:t xml:space="preserve"> skill shortage </w:t>
      </w:r>
      <w:r w:rsidR="005E0F0E" w:rsidRPr="00BC22F7">
        <w:rPr>
          <w:rFonts w:ascii="Tahoma" w:hAnsi="Tahoma" w:cs="Tahoma"/>
          <w:sz w:val="23"/>
          <w:szCs w:val="23"/>
        </w:rPr>
        <w:t>stem</w:t>
      </w:r>
      <w:r w:rsidR="00931BEE" w:rsidRPr="00BC22F7">
        <w:rPr>
          <w:rFonts w:ascii="Tahoma" w:hAnsi="Tahoma" w:cs="Tahoma"/>
          <w:sz w:val="23"/>
          <w:szCs w:val="23"/>
        </w:rPr>
        <w:t>ming</w:t>
      </w:r>
      <w:r w:rsidR="00E242A1" w:rsidRPr="00BC22F7">
        <w:rPr>
          <w:rFonts w:ascii="Tahoma" w:hAnsi="Tahoma" w:cs="Tahoma"/>
          <w:sz w:val="23"/>
          <w:szCs w:val="23"/>
        </w:rPr>
        <w:t xml:space="preserve"> from</w:t>
      </w:r>
      <w:r w:rsidRPr="00BC22F7">
        <w:rPr>
          <w:rFonts w:ascii="Tahoma" w:hAnsi="Tahoma" w:cs="Tahoma"/>
          <w:sz w:val="23"/>
          <w:szCs w:val="23"/>
        </w:rPr>
        <w:t xml:space="preserve"> factors such as </w:t>
      </w:r>
      <w:r w:rsidR="00931BEE" w:rsidRPr="00BC22F7">
        <w:rPr>
          <w:rFonts w:ascii="Tahoma" w:hAnsi="Tahoma" w:cs="Tahoma"/>
          <w:sz w:val="23"/>
          <w:szCs w:val="23"/>
        </w:rPr>
        <w:t>a low birth rate</w:t>
      </w:r>
      <w:r w:rsidRPr="00BC22F7">
        <w:rPr>
          <w:rFonts w:ascii="Tahoma" w:hAnsi="Tahoma" w:cs="Tahoma"/>
          <w:sz w:val="23"/>
          <w:szCs w:val="23"/>
        </w:rPr>
        <w:t xml:space="preserve"> and </w:t>
      </w:r>
      <w:r w:rsidR="00E242A1" w:rsidRPr="00BC22F7">
        <w:rPr>
          <w:rFonts w:ascii="Tahoma" w:hAnsi="Tahoma" w:cs="Tahoma"/>
          <w:sz w:val="23"/>
          <w:szCs w:val="23"/>
        </w:rPr>
        <w:t xml:space="preserve">increased retirement among </w:t>
      </w:r>
      <w:r w:rsidRPr="00BC22F7">
        <w:rPr>
          <w:rFonts w:ascii="Tahoma" w:hAnsi="Tahoma" w:cs="Tahoma"/>
          <w:sz w:val="23"/>
          <w:szCs w:val="23"/>
        </w:rPr>
        <w:t>older workers</w:t>
      </w:r>
      <w:r w:rsidR="008B7FAB" w:rsidRPr="00BC22F7">
        <w:rPr>
          <w:rFonts w:ascii="Tahoma" w:hAnsi="Tahoma" w:cs="Tahoma"/>
          <w:sz w:val="23"/>
          <w:szCs w:val="23"/>
        </w:rPr>
        <w:t>, i.e. “baby boomers”</w:t>
      </w:r>
      <w:r w:rsidRPr="00BC22F7">
        <w:rPr>
          <w:rFonts w:ascii="Tahoma" w:hAnsi="Tahoma" w:cs="Tahoma"/>
          <w:sz w:val="23"/>
          <w:szCs w:val="23"/>
        </w:rPr>
        <w:t xml:space="preserve"> (</w:t>
      </w:r>
      <w:r w:rsidR="00E242A1" w:rsidRPr="00BC22F7">
        <w:rPr>
          <w:rFonts w:ascii="Tahoma" w:hAnsi="Tahoma" w:cs="Tahoma"/>
          <w:sz w:val="23"/>
          <w:szCs w:val="23"/>
        </w:rPr>
        <w:t>Burke &amp; Ng, 2006</w:t>
      </w:r>
      <w:r w:rsidR="00931BEE" w:rsidRPr="00BC22F7">
        <w:rPr>
          <w:rFonts w:ascii="Tahoma" w:hAnsi="Tahoma" w:cs="Tahoma"/>
          <w:sz w:val="23"/>
          <w:szCs w:val="23"/>
        </w:rPr>
        <w:t>; Globe and Mail, 2012</w:t>
      </w:r>
      <w:r w:rsidRPr="00BC22F7">
        <w:rPr>
          <w:rFonts w:ascii="Tahoma" w:hAnsi="Tahoma" w:cs="Tahoma"/>
          <w:sz w:val="23"/>
          <w:szCs w:val="23"/>
        </w:rPr>
        <w:t xml:space="preserve">). </w:t>
      </w:r>
      <w:r w:rsidR="005E0F0E" w:rsidRPr="00BC22F7">
        <w:rPr>
          <w:rFonts w:ascii="Tahoma" w:hAnsi="Tahoma" w:cs="Tahoma"/>
          <w:sz w:val="23"/>
          <w:szCs w:val="23"/>
        </w:rPr>
        <w:t>As a result</w:t>
      </w:r>
      <w:r w:rsidR="00E242A1" w:rsidRPr="00BC22F7">
        <w:rPr>
          <w:rFonts w:ascii="Tahoma" w:hAnsi="Tahoma" w:cs="Tahoma"/>
          <w:sz w:val="23"/>
          <w:szCs w:val="23"/>
        </w:rPr>
        <w:t xml:space="preserve"> of </w:t>
      </w:r>
      <w:r w:rsidR="00931BEE" w:rsidRPr="00BC22F7">
        <w:rPr>
          <w:rFonts w:ascii="Tahoma" w:hAnsi="Tahoma" w:cs="Tahoma"/>
          <w:sz w:val="23"/>
          <w:szCs w:val="23"/>
        </w:rPr>
        <w:t>this</w:t>
      </w:r>
      <w:r w:rsidR="00E242A1" w:rsidRPr="00BC22F7">
        <w:rPr>
          <w:rFonts w:ascii="Tahoma" w:hAnsi="Tahoma" w:cs="Tahoma"/>
          <w:sz w:val="23"/>
          <w:szCs w:val="23"/>
        </w:rPr>
        <w:t xml:space="preserve"> </w:t>
      </w:r>
      <w:r w:rsidR="007B1B53" w:rsidRPr="00BC22F7">
        <w:rPr>
          <w:rFonts w:ascii="Tahoma" w:hAnsi="Tahoma" w:cs="Tahoma"/>
          <w:sz w:val="23"/>
          <w:szCs w:val="23"/>
        </w:rPr>
        <w:t>pronounced</w:t>
      </w:r>
      <w:r w:rsidR="005E0F0E" w:rsidRPr="00BC22F7">
        <w:rPr>
          <w:rFonts w:ascii="Tahoma" w:hAnsi="Tahoma" w:cs="Tahoma"/>
          <w:sz w:val="23"/>
          <w:szCs w:val="23"/>
        </w:rPr>
        <w:t xml:space="preserve"> </w:t>
      </w:r>
      <w:r w:rsidR="007B1B53" w:rsidRPr="00BC22F7">
        <w:rPr>
          <w:rFonts w:ascii="Tahoma" w:hAnsi="Tahoma" w:cs="Tahoma"/>
          <w:sz w:val="23"/>
          <w:szCs w:val="23"/>
        </w:rPr>
        <w:t>skill shortage</w:t>
      </w:r>
      <w:r w:rsidR="00E242A1" w:rsidRPr="00BC22F7">
        <w:rPr>
          <w:rFonts w:ascii="Tahoma" w:hAnsi="Tahoma" w:cs="Tahoma"/>
          <w:sz w:val="23"/>
          <w:szCs w:val="23"/>
        </w:rPr>
        <w:t xml:space="preserve">, the </w:t>
      </w:r>
      <w:r w:rsidR="007B1B53" w:rsidRPr="00BC22F7">
        <w:rPr>
          <w:rFonts w:ascii="Tahoma" w:hAnsi="Tahoma" w:cs="Tahoma"/>
          <w:sz w:val="23"/>
          <w:szCs w:val="23"/>
        </w:rPr>
        <w:t xml:space="preserve">Canadian </w:t>
      </w:r>
      <w:r w:rsidR="00E242A1" w:rsidRPr="00BC22F7">
        <w:rPr>
          <w:rFonts w:ascii="Tahoma" w:hAnsi="Tahoma" w:cs="Tahoma"/>
          <w:sz w:val="23"/>
          <w:szCs w:val="23"/>
        </w:rPr>
        <w:t>federal government has adopted a more aggressive immigration policy targeting highly skilled and educated workers</w:t>
      </w:r>
      <w:r w:rsidR="00931BEE" w:rsidRPr="00BC22F7">
        <w:rPr>
          <w:rFonts w:ascii="Tahoma" w:hAnsi="Tahoma" w:cs="Tahoma"/>
          <w:sz w:val="23"/>
          <w:szCs w:val="23"/>
        </w:rPr>
        <w:t xml:space="preserve"> from all over the world</w:t>
      </w:r>
      <w:r w:rsidR="00945023" w:rsidRPr="00BC22F7">
        <w:rPr>
          <w:rFonts w:ascii="Tahoma" w:hAnsi="Tahoma" w:cs="Tahoma"/>
          <w:sz w:val="23"/>
          <w:szCs w:val="23"/>
        </w:rPr>
        <w:t xml:space="preserve"> </w:t>
      </w:r>
      <w:r w:rsidR="00F054F3" w:rsidRPr="00BC22F7">
        <w:rPr>
          <w:rFonts w:ascii="Tahoma" w:hAnsi="Tahoma" w:cs="Tahoma"/>
          <w:sz w:val="23"/>
          <w:szCs w:val="23"/>
        </w:rPr>
        <w:t xml:space="preserve">(Canadian Labour and Business Centre, </w:t>
      </w:r>
      <w:proofErr w:type="spellStart"/>
      <w:r w:rsidR="00F054F3" w:rsidRPr="00BC22F7">
        <w:rPr>
          <w:rFonts w:ascii="Tahoma" w:hAnsi="Tahoma" w:cs="Tahoma"/>
          <w:sz w:val="23"/>
          <w:szCs w:val="23"/>
        </w:rPr>
        <w:t>n.d</w:t>
      </w:r>
      <w:proofErr w:type="spellEnd"/>
      <w:r w:rsidR="00F054F3" w:rsidRPr="00BC22F7">
        <w:rPr>
          <w:rFonts w:ascii="Tahoma" w:hAnsi="Tahoma" w:cs="Tahoma"/>
          <w:sz w:val="23"/>
          <w:szCs w:val="23"/>
        </w:rPr>
        <w:t xml:space="preserve">.). </w:t>
      </w:r>
      <w:r w:rsidR="00FD5827" w:rsidRPr="00BC22F7">
        <w:rPr>
          <w:rFonts w:ascii="Tahoma" w:hAnsi="Tahoma" w:cs="Tahoma"/>
          <w:sz w:val="23"/>
          <w:szCs w:val="23"/>
        </w:rPr>
        <w:t xml:space="preserve">Historically, immigrants have come </w:t>
      </w:r>
      <w:r w:rsidR="007B7E01" w:rsidRPr="00BC22F7">
        <w:rPr>
          <w:rFonts w:ascii="Tahoma" w:hAnsi="Tahoma" w:cs="Tahoma"/>
          <w:sz w:val="23"/>
          <w:szCs w:val="23"/>
        </w:rPr>
        <w:t xml:space="preserve">primarily </w:t>
      </w:r>
      <w:r w:rsidR="00FD5827" w:rsidRPr="00BC22F7">
        <w:rPr>
          <w:rFonts w:ascii="Tahoma" w:hAnsi="Tahoma" w:cs="Tahoma"/>
          <w:sz w:val="23"/>
          <w:szCs w:val="23"/>
        </w:rPr>
        <w:t xml:space="preserve">from Europe, but Asia Pacific and the Middle East have surpassed Europe as the principal source of immigrants </w:t>
      </w:r>
      <w:r w:rsidR="007B1B53" w:rsidRPr="00BC22F7">
        <w:rPr>
          <w:rFonts w:ascii="Tahoma" w:hAnsi="Tahoma" w:cs="Tahoma"/>
          <w:sz w:val="23"/>
          <w:szCs w:val="23"/>
        </w:rPr>
        <w:t xml:space="preserve">to Canada </w:t>
      </w:r>
      <w:r w:rsidR="00FD5827" w:rsidRPr="00BC22F7">
        <w:rPr>
          <w:rFonts w:ascii="Tahoma" w:hAnsi="Tahoma" w:cs="Tahoma"/>
          <w:sz w:val="23"/>
          <w:szCs w:val="23"/>
        </w:rPr>
        <w:t xml:space="preserve">over the past 30 years </w:t>
      </w:r>
      <w:r w:rsidR="006205BA" w:rsidRPr="00BC22F7">
        <w:rPr>
          <w:rFonts w:ascii="Tahoma" w:hAnsi="Tahoma" w:cs="Tahoma"/>
          <w:sz w:val="23"/>
          <w:szCs w:val="23"/>
        </w:rPr>
        <w:t>(</w:t>
      </w:r>
      <w:r w:rsidR="00FD5827" w:rsidRPr="00BC22F7">
        <w:rPr>
          <w:rFonts w:ascii="Tahoma" w:hAnsi="Tahoma" w:cs="Tahoma"/>
          <w:sz w:val="23"/>
          <w:szCs w:val="23"/>
        </w:rPr>
        <w:t>Citizenship and Immigration Canada, 2010</w:t>
      </w:r>
      <w:r w:rsidR="006205BA" w:rsidRPr="00BC22F7">
        <w:rPr>
          <w:rFonts w:ascii="Tahoma" w:hAnsi="Tahoma" w:cs="Tahoma"/>
          <w:sz w:val="23"/>
          <w:szCs w:val="23"/>
        </w:rPr>
        <w:t>)</w:t>
      </w:r>
      <w:r w:rsidR="00211AEB" w:rsidRPr="00BC22F7">
        <w:rPr>
          <w:rFonts w:ascii="Tahoma" w:hAnsi="Tahoma" w:cs="Tahoma"/>
          <w:sz w:val="23"/>
          <w:szCs w:val="23"/>
        </w:rPr>
        <w:t xml:space="preserve">. </w:t>
      </w:r>
      <w:r w:rsidR="00A83345" w:rsidRPr="00BC22F7">
        <w:rPr>
          <w:rFonts w:ascii="Tahoma" w:hAnsi="Tahoma" w:cs="Tahoma"/>
          <w:sz w:val="23"/>
          <w:szCs w:val="23"/>
        </w:rPr>
        <w:t>In light of this influx of immigrants</w:t>
      </w:r>
      <w:r w:rsidR="007B1B53" w:rsidRPr="00BC22F7">
        <w:rPr>
          <w:rFonts w:ascii="Tahoma" w:hAnsi="Tahoma" w:cs="Tahoma"/>
          <w:sz w:val="23"/>
          <w:szCs w:val="23"/>
        </w:rPr>
        <w:t xml:space="preserve"> from a wide spectrum of countries</w:t>
      </w:r>
      <w:r w:rsidR="00A83345" w:rsidRPr="00BC22F7">
        <w:rPr>
          <w:rFonts w:ascii="Tahoma" w:hAnsi="Tahoma" w:cs="Tahoma"/>
          <w:sz w:val="23"/>
          <w:szCs w:val="23"/>
        </w:rPr>
        <w:t xml:space="preserve">, </w:t>
      </w:r>
      <w:r w:rsidR="00211AEB" w:rsidRPr="00BC22F7">
        <w:rPr>
          <w:rFonts w:ascii="Tahoma" w:hAnsi="Tahoma" w:cs="Tahoma"/>
          <w:sz w:val="23"/>
          <w:szCs w:val="23"/>
        </w:rPr>
        <w:t xml:space="preserve">the Canadian population and its workforce are becoming increasingly </w:t>
      </w:r>
      <w:proofErr w:type="spellStart"/>
      <w:r w:rsidR="005E0F0E" w:rsidRPr="00BC22F7">
        <w:rPr>
          <w:rFonts w:ascii="Tahoma" w:hAnsi="Tahoma" w:cs="Tahoma"/>
          <w:sz w:val="23"/>
          <w:szCs w:val="23"/>
        </w:rPr>
        <w:t>ethnoculturally</w:t>
      </w:r>
      <w:proofErr w:type="spellEnd"/>
      <w:r w:rsidR="00E242A1" w:rsidRPr="00BC22F7">
        <w:rPr>
          <w:rFonts w:ascii="Tahoma" w:hAnsi="Tahoma" w:cs="Tahoma"/>
          <w:sz w:val="23"/>
          <w:szCs w:val="23"/>
        </w:rPr>
        <w:t xml:space="preserve"> </w:t>
      </w:r>
      <w:r w:rsidR="00945023" w:rsidRPr="00BC22F7">
        <w:rPr>
          <w:rFonts w:ascii="Tahoma" w:hAnsi="Tahoma" w:cs="Tahoma"/>
          <w:sz w:val="23"/>
          <w:szCs w:val="23"/>
        </w:rPr>
        <w:t>divers</w:t>
      </w:r>
      <w:r w:rsidR="00E242A1" w:rsidRPr="00BC22F7">
        <w:rPr>
          <w:rFonts w:ascii="Tahoma" w:hAnsi="Tahoma" w:cs="Tahoma"/>
          <w:sz w:val="23"/>
          <w:szCs w:val="23"/>
        </w:rPr>
        <w:t>e</w:t>
      </w:r>
      <w:r w:rsidR="00945023" w:rsidRPr="00BC22F7">
        <w:rPr>
          <w:rFonts w:ascii="Tahoma" w:hAnsi="Tahoma" w:cs="Tahoma"/>
          <w:sz w:val="23"/>
          <w:szCs w:val="23"/>
        </w:rPr>
        <w:t>.</w:t>
      </w:r>
      <w:r w:rsidR="00E242A1" w:rsidRPr="00BC22F7">
        <w:rPr>
          <w:rFonts w:ascii="Tahoma" w:hAnsi="Tahoma" w:cs="Tahoma"/>
          <w:sz w:val="23"/>
          <w:szCs w:val="23"/>
        </w:rPr>
        <w:t xml:space="preserve"> Despite these rising levels of diversity in Can</w:t>
      </w:r>
      <w:r w:rsidR="00A83345" w:rsidRPr="00BC22F7">
        <w:rPr>
          <w:rFonts w:ascii="Tahoma" w:hAnsi="Tahoma" w:cs="Tahoma"/>
          <w:sz w:val="23"/>
          <w:szCs w:val="23"/>
        </w:rPr>
        <w:t>adian population</w:t>
      </w:r>
      <w:r w:rsidR="002C7851" w:rsidRPr="00BC22F7">
        <w:rPr>
          <w:rFonts w:ascii="Tahoma" w:hAnsi="Tahoma" w:cs="Tahoma"/>
          <w:sz w:val="23"/>
          <w:szCs w:val="23"/>
        </w:rPr>
        <w:t>, however, visib</w:t>
      </w:r>
      <w:r w:rsidR="00E242A1" w:rsidRPr="00BC22F7">
        <w:rPr>
          <w:rFonts w:ascii="Tahoma" w:hAnsi="Tahoma" w:cs="Tahoma"/>
          <w:sz w:val="23"/>
          <w:szCs w:val="23"/>
        </w:rPr>
        <w:t>le minorities</w:t>
      </w:r>
      <w:r w:rsidR="00F1243F" w:rsidRPr="00BC22F7">
        <w:rPr>
          <w:rStyle w:val="FootnoteReference"/>
          <w:rFonts w:ascii="Tahoma" w:hAnsi="Tahoma" w:cs="Tahoma"/>
          <w:sz w:val="23"/>
          <w:szCs w:val="23"/>
        </w:rPr>
        <w:footnoteReference w:id="1"/>
      </w:r>
      <w:r w:rsidR="0027629A" w:rsidRPr="00BC22F7">
        <w:rPr>
          <w:rFonts w:ascii="Tahoma" w:hAnsi="Tahoma" w:cs="Tahoma"/>
          <w:sz w:val="23"/>
          <w:szCs w:val="23"/>
        </w:rPr>
        <w:t xml:space="preserve"> </w:t>
      </w:r>
      <w:r w:rsidR="00E242A1" w:rsidRPr="00BC22F7">
        <w:rPr>
          <w:rFonts w:ascii="Tahoma" w:hAnsi="Tahoma" w:cs="Tahoma"/>
          <w:sz w:val="23"/>
          <w:szCs w:val="23"/>
        </w:rPr>
        <w:t>and other demographic</w:t>
      </w:r>
      <w:r w:rsidR="002C7851" w:rsidRPr="00BC22F7">
        <w:rPr>
          <w:rFonts w:ascii="Tahoma" w:hAnsi="Tahoma" w:cs="Tahoma"/>
          <w:sz w:val="23"/>
          <w:szCs w:val="23"/>
        </w:rPr>
        <w:t xml:space="preserve"> groups (</w:t>
      </w:r>
      <w:r w:rsidR="0027629A" w:rsidRPr="00BC22F7">
        <w:rPr>
          <w:rFonts w:ascii="Tahoma" w:hAnsi="Tahoma" w:cs="Tahoma"/>
          <w:sz w:val="23"/>
          <w:szCs w:val="23"/>
        </w:rPr>
        <w:t xml:space="preserve">e.g., </w:t>
      </w:r>
      <w:r w:rsidR="00225BAE" w:rsidRPr="00BC22F7">
        <w:rPr>
          <w:rFonts w:ascii="Tahoma" w:hAnsi="Tahoma" w:cs="Tahoma"/>
          <w:sz w:val="23"/>
          <w:szCs w:val="23"/>
        </w:rPr>
        <w:t>A</w:t>
      </w:r>
      <w:r w:rsidR="002C7851" w:rsidRPr="00BC22F7">
        <w:rPr>
          <w:rFonts w:ascii="Tahoma" w:hAnsi="Tahoma" w:cs="Tahoma"/>
          <w:sz w:val="23"/>
          <w:szCs w:val="23"/>
        </w:rPr>
        <w:t xml:space="preserve">boriginal peoples, persons with disabilities, </w:t>
      </w:r>
      <w:r w:rsidR="0027629A" w:rsidRPr="00BC22F7">
        <w:rPr>
          <w:rFonts w:ascii="Tahoma" w:hAnsi="Tahoma" w:cs="Tahoma"/>
          <w:sz w:val="23"/>
          <w:szCs w:val="23"/>
        </w:rPr>
        <w:t>sexual minorities</w:t>
      </w:r>
      <w:r w:rsidR="00D81F6A" w:rsidRPr="00BC22F7">
        <w:rPr>
          <w:rFonts w:ascii="Tahoma" w:hAnsi="Tahoma" w:cs="Tahoma"/>
          <w:sz w:val="23"/>
          <w:szCs w:val="23"/>
        </w:rPr>
        <w:t xml:space="preserve"> or LGBT individuals</w:t>
      </w:r>
      <w:r w:rsidR="002C7851" w:rsidRPr="00BC22F7">
        <w:rPr>
          <w:rFonts w:ascii="Tahoma" w:hAnsi="Tahoma" w:cs="Tahoma"/>
          <w:sz w:val="23"/>
          <w:szCs w:val="23"/>
        </w:rPr>
        <w:t xml:space="preserve">, </w:t>
      </w:r>
      <w:r w:rsidR="008B7FAB" w:rsidRPr="00BC22F7">
        <w:rPr>
          <w:rFonts w:ascii="Tahoma" w:hAnsi="Tahoma" w:cs="Tahoma"/>
          <w:sz w:val="23"/>
          <w:szCs w:val="23"/>
        </w:rPr>
        <w:t xml:space="preserve">and </w:t>
      </w:r>
      <w:r w:rsidR="002C7851" w:rsidRPr="00BC22F7">
        <w:rPr>
          <w:rFonts w:ascii="Tahoma" w:hAnsi="Tahoma" w:cs="Tahoma"/>
          <w:sz w:val="23"/>
          <w:szCs w:val="23"/>
        </w:rPr>
        <w:t>women) remain significantly underrepresented at various levels in the public sector (</w:t>
      </w:r>
      <w:r w:rsidR="008B7FAB" w:rsidRPr="00BC22F7">
        <w:rPr>
          <w:rFonts w:ascii="Tahoma" w:hAnsi="Tahoma" w:cs="Tahoma"/>
          <w:sz w:val="23"/>
          <w:szCs w:val="23"/>
        </w:rPr>
        <w:t>Employment Equity Act: Annual Report</w:t>
      </w:r>
      <w:r w:rsidR="007B1B53" w:rsidRPr="00BC22F7">
        <w:rPr>
          <w:rFonts w:ascii="Tahoma" w:hAnsi="Tahoma" w:cs="Tahoma"/>
          <w:sz w:val="23"/>
          <w:szCs w:val="23"/>
        </w:rPr>
        <w:t>,</w:t>
      </w:r>
      <w:r w:rsidR="008B7FAB" w:rsidRPr="00BC22F7">
        <w:rPr>
          <w:rFonts w:ascii="Tahoma" w:hAnsi="Tahoma" w:cs="Tahoma"/>
          <w:sz w:val="23"/>
          <w:szCs w:val="23"/>
        </w:rPr>
        <w:t xml:space="preserve"> 2010)</w:t>
      </w:r>
      <w:r w:rsidR="00A83345" w:rsidRPr="00BC22F7">
        <w:rPr>
          <w:rFonts w:ascii="Tahoma" w:hAnsi="Tahoma" w:cs="Tahoma"/>
          <w:sz w:val="23"/>
          <w:szCs w:val="23"/>
        </w:rPr>
        <w:t xml:space="preserve">. </w:t>
      </w:r>
    </w:p>
    <w:p w:rsidR="00DB2FFF" w:rsidRPr="00BC22F7" w:rsidRDefault="00DB2FFF">
      <w:pPr>
        <w:autoSpaceDE w:val="0"/>
        <w:autoSpaceDN w:val="0"/>
        <w:adjustRightInd w:val="0"/>
        <w:spacing w:after="0" w:line="240" w:lineRule="auto"/>
        <w:ind w:firstLine="720"/>
        <w:rPr>
          <w:rFonts w:ascii="Tahoma" w:hAnsi="Tahoma" w:cs="Tahoma"/>
          <w:sz w:val="23"/>
          <w:szCs w:val="23"/>
        </w:rPr>
      </w:pPr>
    </w:p>
    <w:p w:rsidR="00A83345" w:rsidRPr="00BC22F7" w:rsidRDefault="00A83345" w:rsidP="00A83345">
      <w:pPr>
        <w:spacing w:after="0" w:line="240" w:lineRule="auto"/>
        <w:ind w:firstLine="720"/>
        <w:rPr>
          <w:rFonts w:ascii="Tahoma" w:hAnsi="Tahoma" w:cs="Tahoma"/>
          <w:sz w:val="23"/>
          <w:szCs w:val="23"/>
        </w:rPr>
      </w:pPr>
      <w:r w:rsidRPr="00BC22F7">
        <w:rPr>
          <w:rFonts w:ascii="Tahoma" w:hAnsi="Tahoma" w:cs="Tahoma"/>
          <w:sz w:val="23"/>
          <w:szCs w:val="23"/>
        </w:rPr>
        <w:t>In this research, we aim to address the question of what factors may contribute to minority group members</w:t>
      </w:r>
      <w:r w:rsidR="00D81F6A" w:rsidRPr="00BC22F7">
        <w:rPr>
          <w:rFonts w:ascii="Tahoma" w:hAnsi="Tahoma" w:cs="Tahoma"/>
          <w:sz w:val="23"/>
          <w:szCs w:val="23"/>
        </w:rPr>
        <w:t>’</w:t>
      </w:r>
      <w:r w:rsidRPr="00BC22F7">
        <w:rPr>
          <w:rFonts w:ascii="Tahoma" w:hAnsi="Tahoma" w:cs="Tahoma"/>
          <w:sz w:val="23"/>
          <w:szCs w:val="23"/>
        </w:rPr>
        <w:t xml:space="preserve"> attraction </w:t>
      </w:r>
      <w:r w:rsidR="00D81F6A" w:rsidRPr="00BC22F7">
        <w:rPr>
          <w:rFonts w:ascii="Tahoma" w:hAnsi="Tahoma" w:cs="Tahoma"/>
          <w:sz w:val="23"/>
          <w:szCs w:val="23"/>
        </w:rPr>
        <w:t>(</w:t>
      </w:r>
      <w:r w:rsidRPr="00BC22F7">
        <w:rPr>
          <w:rFonts w:ascii="Tahoma" w:hAnsi="Tahoma" w:cs="Tahoma"/>
          <w:sz w:val="23"/>
          <w:szCs w:val="23"/>
        </w:rPr>
        <w:t>or lack of attraction</w:t>
      </w:r>
      <w:r w:rsidR="00D81F6A" w:rsidRPr="00BC22F7">
        <w:rPr>
          <w:rFonts w:ascii="Tahoma" w:hAnsi="Tahoma" w:cs="Tahoma"/>
          <w:sz w:val="23"/>
          <w:szCs w:val="23"/>
        </w:rPr>
        <w:t>)</w:t>
      </w:r>
      <w:r w:rsidRPr="00BC22F7">
        <w:rPr>
          <w:rFonts w:ascii="Tahoma" w:hAnsi="Tahoma" w:cs="Tahoma"/>
          <w:sz w:val="23"/>
          <w:szCs w:val="23"/>
        </w:rPr>
        <w:t xml:space="preserve"> to public sector employment. Sp</w:t>
      </w:r>
      <w:r w:rsidR="00D2682F" w:rsidRPr="00BC22F7">
        <w:rPr>
          <w:rFonts w:ascii="Tahoma" w:hAnsi="Tahoma" w:cs="Tahoma"/>
          <w:sz w:val="23"/>
          <w:szCs w:val="23"/>
        </w:rPr>
        <w:t>ec</w:t>
      </w:r>
      <w:r w:rsidRPr="00BC22F7">
        <w:rPr>
          <w:rFonts w:ascii="Tahoma" w:hAnsi="Tahoma" w:cs="Tahoma"/>
          <w:sz w:val="23"/>
          <w:szCs w:val="23"/>
        </w:rPr>
        <w:t xml:space="preserve">ifically, we examine whether individuals from different demographic groups may vary in their attraction to public sector vs. private sector employment and their core work values associated with this </w:t>
      </w:r>
      <w:proofErr w:type="spellStart"/>
      <w:r w:rsidRPr="00BC22F7">
        <w:rPr>
          <w:rFonts w:ascii="Tahoma" w:hAnsi="Tahoma" w:cs="Tahoma"/>
          <w:sz w:val="23"/>
          <w:szCs w:val="23"/>
        </w:rPr>
        <w:t>sectoral</w:t>
      </w:r>
      <w:proofErr w:type="spellEnd"/>
      <w:r w:rsidRPr="00BC22F7">
        <w:rPr>
          <w:rFonts w:ascii="Tahoma" w:hAnsi="Tahoma" w:cs="Tahoma"/>
          <w:sz w:val="23"/>
          <w:szCs w:val="23"/>
        </w:rPr>
        <w:t xml:space="preserve"> preference. Public administration scholars have argued that individuals may seek employment in the public service for a number of reasons, including the type of work (e.g., interest in policy-making/implementation), a feeling of patriotism or self-sacrifice for one’s country, and potentially  greater recognition and appreciation for issues of social justice in the public sector (e.g., Perry &amp; Wise, 1990). However, very little research has examined </w:t>
      </w:r>
      <w:proofErr w:type="spellStart"/>
      <w:r w:rsidRPr="00BC22F7">
        <w:rPr>
          <w:rFonts w:ascii="Tahoma" w:hAnsi="Tahoma" w:cs="Tahoma"/>
          <w:sz w:val="23"/>
          <w:szCs w:val="23"/>
        </w:rPr>
        <w:t>sectoral</w:t>
      </w:r>
      <w:proofErr w:type="spellEnd"/>
      <w:r w:rsidRPr="00BC22F7">
        <w:rPr>
          <w:rFonts w:ascii="Tahoma" w:hAnsi="Tahoma" w:cs="Tahoma"/>
          <w:sz w:val="23"/>
          <w:szCs w:val="23"/>
        </w:rPr>
        <w:t xml:space="preserve"> preferences of minority group members as well as the specific work values underlying these preferences. Thus, in this paper, we examine three primary research questions. First, are minority group members (i.e., women, visible minorities, Aboriginal peoples, persons with disabilities, LGBT) more or less likely to desire public sector over private sector careers? Second, what are the key work values that predict attraction to public </w:t>
      </w:r>
      <w:r w:rsidR="00D81F6A" w:rsidRPr="00BC22F7">
        <w:rPr>
          <w:rFonts w:ascii="Tahoma" w:hAnsi="Tahoma" w:cs="Tahoma"/>
          <w:sz w:val="23"/>
          <w:szCs w:val="23"/>
        </w:rPr>
        <w:t xml:space="preserve">sector </w:t>
      </w:r>
      <w:r w:rsidRPr="00BC22F7">
        <w:rPr>
          <w:rFonts w:ascii="Tahoma" w:hAnsi="Tahoma" w:cs="Tahoma"/>
          <w:sz w:val="23"/>
          <w:szCs w:val="23"/>
        </w:rPr>
        <w:t xml:space="preserve">employment? Third, how do minority group members compare to the majority group with respect to their preferences for the core work values that predict public service attraction? Answers to these questions will advance our understanding of the prevalence of public service attraction, and the motives underlying </w:t>
      </w:r>
      <w:r w:rsidR="007B1B53" w:rsidRPr="00BC22F7">
        <w:rPr>
          <w:rFonts w:ascii="Tahoma" w:hAnsi="Tahoma" w:cs="Tahoma"/>
          <w:sz w:val="23"/>
          <w:szCs w:val="23"/>
        </w:rPr>
        <w:t>attraction to public sector</w:t>
      </w:r>
      <w:r w:rsidRPr="00BC22F7">
        <w:rPr>
          <w:rFonts w:ascii="Tahoma" w:hAnsi="Tahoma" w:cs="Tahoma"/>
          <w:sz w:val="23"/>
          <w:szCs w:val="23"/>
        </w:rPr>
        <w:t xml:space="preserve"> </w:t>
      </w:r>
      <w:r w:rsidR="007B1B53" w:rsidRPr="00BC22F7">
        <w:rPr>
          <w:rFonts w:ascii="Tahoma" w:hAnsi="Tahoma" w:cs="Tahoma"/>
          <w:sz w:val="23"/>
          <w:szCs w:val="23"/>
        </w:rPr>
        <w:t>employment</w:t>
      </w:r>
      <w:r w:rsidRPr="00BC22F7">
        <w:rPr>
          <w:rFonts w:ascii="Tahoma" w:hAnsi="Tahoma" w:cs="Tahoma"/>
          <w:sz w:val="23"/>
          <w:szCs w:val="23"/>
        </w:rPr>
        <w:t xml:space="preserve"> among the underrepresented groups. This knowledge can, in turn, </w:t>
      </w:r>
      <w:r w:rsidRPr="00BC22F7">
        <w:rPr>
          <w:rFonts w:ascii="Tahoma" w:hAnsi="Tahoma" w:cs="Tahoma"/>
          <w:sz w:val="23"/>
          <w:szCs w:val="23"/>
        </w:rPr>
        <w:lastRenderedPageBreak/>
        <w:t xml:space="preserve">assist public sector policy-makers and managers in designing and implementing policies and practices that enhance diversity in the public sector.   </w:t>
      </w:r>
    </w:p>
    <w:p w:rsidR="00DB2FFF" w:rsidRPr="00BC22F7" w:rsidRDefault="00DB2FFF">
      <w:pPr>
        <w:autoSpaceDE w:val="0"/>
        <w:autoSpaceDN w:val="0"/>
        <w:adjustRightInd w:val="0"/>
        <w:spacing w:after="0" w:line="240" w:lineRule="auto"/>
        <w:ind w:firstLine="720"/>
        <w:rPr>
          <w:rFonts w:ascii="Tahoma" w:hAnsi="Tahoma" w:cs="Tahoma"/>
          <w:sz w:val="23"/>
          <w:szCs w:val="23"/>
        </w:rPr>
      </w:pPr>
    </w:p>
    <w:p w:rsidR="00DB2FFF" w:rsidRPr="00BC22F7" w:rsidRDefault="002C7851">
      <w:pPr>
        <w:spacing w:after="0" w:line="240" w:lineRule="auto"/>
        <w:ind w:firstLine="720"/>
        <w:rPr>
          <w:rFonts w:ascii="Tahoma" w:hAnsi="Tahoma" w:cs="Tahoma"/>
          <w:sz w:val="23"/>
          <w:szCs w:val="23"/>
        </w:rPr>
      </w:pPr>
      <w:r w:rsidRPr="00BC22F7">
        <w:rPr>
          <w:rFonts w:ascii="Tahoma" w:hAnsi="Tahoma" w:cs="Tahoma"/>
          <w:sz w:val="23"/>
          <w:szCs w:val="23"/>
        </w:rPr>
        <w:t>It is critically important that the public sector</w:t>
      </w:r>
      <w:r w:rsidR="0027629A" w:rsidRPr="00BC22F7">
        <w:rPr>
          <w:rFonts w:ascii="Tahoma" w:hAnsi="Tahoma" w:cs="Tahoma"/>
          <w:sz w:val="23"/>
          <w:szCs w:val="23"/>
        </w:rPr>
        <w:t xml:space="preserve"> </w:t>
      </w:r>
      <w:r w:rsidR="0028309A" w:rsidRPr="00BC22F7">
        <w:rPr>
          <w:rFonts w:ascii="Tahoma" w:hAnsi="Tahoma" w:cs="Tahoma"/>
          <w:sz w:val="23"/>
          <w:szCs w:val="23"/>
        </w:rPr>
        <w:t xml:space="preserve">is comprised of </w:t>
      </w:r>
      <w:r w:rsidR="0027629A" w:rsidRPr="00BC22F7">
        <w:rPr>
          <w:rFonts w:ascii="Tahoma" w:hAnsi="Tahoma" w:cs="Tahoma"/>
          <w:sz w:val="23"/>
          <w:szCs w:val="23"/>
        </w:rPr>
        <w:t>a diverse workforce</w:t>
      </w:r>
      <w:r w:rsidRPr="00BC22F7">
        <w:rPr>
          <w:rFonts w:ascii="Tahoma" w:hAnsi="Tahoma" w:cs="Tahoma"/>
          <w:sz w:val="23"/>
          <w:szCs w:val="23"/>
        </w:rPr>
        <w:t xml:space="preserve"> for a number of reasons:</w:t>
      </w:r>
      <w:r w:rsidR="00E7366A" w:rsidRPr="00BC22F7">
        <w:rPr>
          <w:rFonts w:ascii="Tahoma" w:hAnsi="Tahoma" w:cs="Tahoma"/>
          <w:sz w:val="23"/>
          <w:szCs w:val="23"/>
        </w:rPr>
        <w:t xml:space="preserve"> </w:t>
      </w:r>
      <w:r w:rsidR="00F105FA" w:rsidRPr="00BC22F7">
        <w:rPr>
          <w:rFonts w:ascii="Tahoma" w:hAnsi="Tahoma" w:cs="Tahoma"/>
          <w:sz w:val="23"/>
          <w:szCs w:val="23"/>
        </w:rPr>
        <w:t>First</w:t>
      </w:r>
      <w:r w:rsidR="005E0F0E" w:rsidRPr="00BC22F7">
        <w:rPr>
          <w:rFonts w:ascii="Tahoma" w:hAnsi="Tahoma" w:cs="Tahoma"/>
          <w:sz w:val="23"/>
          <w:szCs w:val="23"/>
        </w:rPr>
        <w:t>, as mentioned, i</w:t>
      </w:r>
      <w:r w:rsidR="00E7366A" w:rsidRPr="00BC22F7">
        <w:rPr>
          <w:rFonts w:ascii="Tahoma" w:hAnsi="Tahoma" w:cs="Tahoma"/>
          <w:sz w:val="23"/>
          <w:szCs w:val="23"/>
        </w:rPr>
        <w:t xml:space="preserve">ncreasing globalization and immigration </w:t>
      </w:r>
      <w:r w:rsidR="00F105FA" w:rsidRPr="00BC22F7">
        <w:rPr>
          <w:rFonts w:ascii="Tahoma" w:hAnsi="Tahoma" w:cs="Tahoma"/>
          <w:sz w:val="23"/>
          <w:szCs w:val="23"/>
        </w:rPr>
        <w:t xml:space="preserve">is expected to continue to </w:t>
      </w:r>
      <w:r w:rsidR="00E7366A" w:rsidRPr="00BC22F7">
        <w:rPr>
          <w:rFonts w:ascii="Tahoma" w:hAnsi="Tahoma" w:cs="Tahoma"/>
          <w:sz w:val="23"/>
          <w:szCs w:val="23"/>
        </w:rPr>
        <w:t xml:space="preserve">result in greater </w:t>
      </w:r>
      <w:proofErr w:type="spellStart"/>
      <w:r w:rsidR="00E7366A" w:rsidRPr="00BC22F7">
        <w:rPr>
          <w:rFonts w:ascii="Tahoma" w:hAnsi="Tahoma" w:cs="Tahoma"/>
          <w:sz w:val="23"/>
          <w:szCs w:val="23"/>
        </w:rPr>
        <w:t>ethnocultural</w:t>
      </w:r>
      <w:proofErr w:type="spellEnd"/>
      <w:r w:rsidR="00E7366A" w:rsidRPr="00BC22F7">
        <w:rPr>
          <w:rFonts w:ascii="Tahoma" w:hAnsi="Tahoma" w:cs="Tahoma"/>
          <w:sz w:val="23"/>
          <w:szCs w:val="23"/>
        </w:rPr>
        <w:t xml:space="preserve"> diversity in the Canadian workforce</w:t>
      </w:r>
      <w:r w:rsidR="005E0F0E" w:rsidRPr="00BC22F7">
        <w:rPr>
          <w:rFonts w:ascii="Tahoma" w:hAnsi="Tahoma" w:cs="Tahoma"/>
          <w:sz w:val="23"/>
          <w:szCs w:val="23"/>
        </w:rPr>
        <w:t xml:space="preserve"> in the coming years</w:t>
      </w:r>
      <w:r w:rsidR="00E7366A" w:rsidRPr="00BC22F7">
        <w:rPr>
          <w:rFonts w:ascii="Tahoma" w:hAnsi="Tahoma" w:cs="Tahoma"/>
          <w:sz w:val="23"/>
          <w:szCs w:val="23"/>
        </w:rPr>
        <w:t xml:space="preserve"> (Burke &amp; Ng, 2006). </w:t>
      </w:r>
      <w:r w:rsidR="005E0F0E" w:rsidRPr="00BC22F7">
        <w:rPr>
          <w:rFonts w:ascii="Tahoma" w:hAnsi="Tahoma" w:cs="Tahoma"/>
          <w:sz w:val="23"/>
          <w:szCs w:val="23"/>
        </w:rPr>
        <w:t>Likewise,</w:t>
      </w:r>
      <w:r w:rsidR="00E7366A" w:rsidRPr="00BC22F7">
        <w:rPr>
          <w:rFonts w:ascii="Tahoma" w:hAnsi="Tahoma" w:cs="Tahoma"/>
          <w:sz w:val="23"/>
          <w:szCs w:val="23"/>
        </w:rPr>
        <w:t xml:space="preserve"> the influx of women in the labor market, the presence of a sizeable </w:t>
      </w:r>
      <w:r w:rsidR="00F23132" w:rsidRPr="00BC22F7">
        <w:rPr>
          <w:rFonts w:ascii="Tahoma" w:hAnsi="Tahoma" w:cs="Tahoma"/>
          <w:sz w:val="23"/>
          <w:szCs w:val="23"/>
        </w:rPr>
        <w:t xml:space="preserve">and growing </w:t>
      </w:r>
      <w:r w:rsidR="00E7366A" w:rsidRPr="00BC22F7">
        <w:rPr>
          <w:rFonts w:ascii="Tahoma" w:hAnsi="Tahoma" w:cs="Tahoma"/>
          <w:sz w:val="23"/>
          <w:szCs w:val="23"/>
        </w:rPr>
        <w:t xml:space="preserve">Aboriginal population, a greater awareness of differently </w:t>
      </w:r>
      <w:proofErr w:type="spellStart"/>
      <w:r w:rsidR="00E7366A" w:rsidRPr="00BC22F7">
        <w:rPr>
          <w:rFonts w:ascii="Tahoma" w:hAnsi="Tahoma" w:cs="Tahoma"/>
          <w:sz w:val="23"/>
          <w:szCs w:val="23"/>
        </w:rPr>
        <w:t>abled</w:t>
      </w:r>
      <w:proofErr w:type="spellEnd"/>
      <w:r w:rsidR="00E7366A" w:rsidRPr="00BC22F7">
        <w:rPr>
          <w:rFonts w:ascii="Tahoma" w:hAnsi="Tahoma" w:cs="Tahoma"/>
          <w:sz w:val="23"/>
          <w:szCs w:val="23"/>
        </w:rPr>
        <w:t xml:space="preserve"> persons, as well as the number of LGBT </w:t>
      </w:r>
      <w:r w:rsidR="00D81F6A" w:rsidRPr="00BC22F7">
        <w:rPr>
          <w:rFonts w:ascii="Tahoma" w:hAnsi="Tahoma" w:cs="Tahoma"/>
          <w:sz w:val="23"/>
          <w:szCs w:val="23"/>
        </w:rPr>
        <w:t xml:space="preserve">individuals </w:t>
      </w:r>
      <w:r w:rsidR="00E7366A" w:rsidRPr="00BC22F7">
        <w:rPr>
          <w:rFonts w:ascii="Tahoma" w:hAnsi="Tahoma" w:cs="Tahoma"/>
          <w:sz w:val="23"/>
          <w:szCs w:val="23"/>
        </w:rPr>
        <w:t>coming out in the workplace</w:t>
      </w:r>
      <w:r w:rsidR="00F23132" w:rsidRPr="00BC22F7">
        <w:rPr>
          <w:rFonts w:ascii="Tahoma" w:hAnsi="Tahoma" w:cs="Tahoma"/>
          <w:sz w:val="23"/>
          <w:szCs w:val="23"/>
        </w:rPr>
        <w:t>,</w:t>
      </w:r>
      <w:r w:rsidR="00E7366A" w:rsidRPr="00BC22F7">
        <w:rPr>
          <w:rFonts w:ascii="Tahoma" w:hAnsi="Tahoma" w:cs="Tahoma"/>
          <w:sz w:val="23"/>
          <w:szCs w:val="23"/>
        </w:rPr>
        <w:t xml:space="preserve"> </w:t>
      </w:r>
      <w:r w:rsidR="005E0F0E" w:rsidRPr="00BC22F7">
        <w:rPr>
          <w:rFonts w:ascii="Tahoma" w:hAnsi="Tahoma" w:cs="Tahoma"/>
          <w:sz w:val="23"/>
          <w:szCs w:val="23"/>
        </w:rPr>
        <w:t xml:space="preserve">will </w:t>
      </w:r>
      <w:r w:rsidR="00E7366A" w:rsidRPr="00BC22F7">
        <w:rPr>
          <w:rFonts w:ascii="Tahoma" w:hAnsi="Tahoma" w:cs="Tahoma"/>
          <w:sz w:val="23"/>
          <w:szCs w:val="23"/>
        </w:rPr>
        <w:t xml:space="preserve">also contribute to </w:t>
      </w:r>
      <w:r w:rsidR="005E0F0E" w:rsidRPr="00BC22F7">
        <w:rPr>
          <w:rFonts w:ascii="Tahoma" w:hAnsi="Tahoma" w:cs="Tahoma"/>
          <w:sz w:val="23"/>
          <w:szCs w:val="23"/>
        </w:rPr>
        <w:t xml:space="preserve">protracted levels of </w:t>
      </w:r>
      <w:r w:rsidR="00E7366A" w:rsidRPr="00BC22F7">
        <w:rPr>
          <w:rFonts w:ascii="Tahoma" w:hAnsi="Tahoma" w:cs="Tahoma"/>
          <w:sz w:val="23"/>
          <w:szCs w:val="23"/>
        </w:rPr>
        <w:t xml:space="preserve">diversity in the workforce. </w:t>
      </w:r>
      <w:r w:rsidR="00F105FA" w:rsidRPr="00BC22F7">
        <w:rPr>
          <w:rFonts w:ascii="Tahoma" w:hAnsi="Tahoma" w:cs="Tahoma"/>
          <w:sz w:val="23"/>
          <w:szCs w:val="23"/>
        </w:rPr>
        <w:t xml:space="preserve">From this standpoint, </w:t>
      </w:r>
      <w:r w:rsidR="005E0F0E" w:rsidRPr="00BC22F7">
        <w:rPr>
          <w:rFonts w:ascii="Tahoma" w:hAnsi="Tahoma" w:cs="Tahoma"/>
          <w:sz w:val="23"/>
          <w:szCs w:val="23"/>
        </w:rPr>
        <w:t xml:space="preserve">increasing levels of diversity are inevitable and </w:t>
      </w:r>
      <w:r w:rsidR="0027629A" w:rsidRPr="00BC22F7">
        <w:rPr>
          <w:rFonts w:ascii="Tahoma" w:hAnsi="Tahoma" w:cs="Tahoma"/>
          <w:sz w:val="23"/>
          <w:szCs w:val="23"/>
        </w:rPr>
        <w:t xml:space="preserve">the </w:t>
      </w:r>
      <w:r w:rsidR="00F105FA" w:rsidRPr="00BC22F7">
        <w:rPr>
          <w:rFonts w:ascii="Tahoma" w:hAnsi="Tahoma" w:cs="Tahoma"/>
          <w:sz w:val="23"/>
          <w:szCs w:val="23"/>
        </w:rPr>
        <w:t xml:space="preserve">public sector </w:t>
      </w:r>
      <w:r w:rsidR="0028309A" w:rsidRPr="00BC22F7">
        <w:rPr>
          <w:rFonts w:ascii="Tahoma" w:hAnsi="Tahoma" w:cs="Tahoma"/>
          <w:sz w:val="23"/>
          <w:szCs w:val="23"/>
        </w:rPr>
        <w:t>will need to respond to these shifting demographics to reflect the diverse, multicultural nature of Canadian society</w:t>
      </w:r>
      <w:r w:rsidR="00F105FA" w:rsidRPr="00BC22F7">
        <w:rPr>
          <w:rFonts w:ascii="Tahoma" w:hAnsi="Tahoma" w:cs="Tahoma"/>
          <w:sz w:val="23"/>
          <w:szCs w:val="23"/>
        </w:rPr>
        <w:t>. Second, it is important to build and maintain a diverse public service</w:t>
      </w:r>
      <w:r w:rsidR="002C0CBE" w:rsidRPr="00BC22F7">
        <w:rPr>
          <w:rFonts w:ascii="Tahoma" w:hAnsi="Tahoma" w:cs="Tahoma"/>
          <w:sz w:val="23"/>
          <w:szCs w:val="23"/>
        </w:rPr>
        <w:t xml:space="preserve"> due to</w:t>
      </w:r>
      <w:r w:rsidR="0027629A" w:rsidRPr="00BC22F7">
        <w:rPr>
          <w:rFonts w:ascii="Tahoma" w:hAnsi="Tahoma" w:cs="Tahoma"/>
          <w:sz w:val="23"/>
          <w:szCs w:val="23"/>
        </w:rPr>
        <w:t xml:space="preserve"> </w:t>
      </w:r>
      <w:r w:rsidR="002C0CBE" w:rsidRPr="00BC22F7">
        <w:rPr>
          <w:rFonts w:ascii="Tahoma" w:hAnsi="Tahoma" w:cs="Tahoma"/>
          <w:sz w:val="23"/>
          <w:szCs w:val="23"/>
        </w:rPr>
        <w:t>inherent</w:t>
      </w:r>
      <w:r w:rsidR="00A83345" w:rsidRPr="00BC22F7">
        <w:rPr>
          <w:rFonts w:ascii="Tahoma" w:hAnsi="Tahoma" w:cs="Tahoma"/>
          <w:sz w:val="23"/>
          <w:szCs w:val="23"/>
        </w:rPr>
        <w:t xml:space="preserve"> </w:t>
      </w:r>
      <w:r w:rsidR="002C0CBE" w:rsidRPr="00BC22F7">
        <w:rPr>
          <w:rFonts w:ascii="Tahoma" w:hAnsi="Tahoma" w:cs="Tahoma"/>
          <w:sz w:val="23"/>
          <w:szCs w:val="23"/>
        </w:rPr>
        <w:t>“v</w:t>
      </w:r>
      <w:r w:rsidR="00F105FA" w:rsidRPr="00BC22F7">
        <w:rPr>
          <w:rFonts w:ascii="Tahoma" w:hAnsi="Tahoma" w:cs="Tahoma"/>
          <w:sz w:val="23"/>
          <w:szCs w:val="23"/>
        </w:rPr>
        <w:t>alue-in-diversity</w:t>
      </w:r>
      <w:r w:rsidR="00D81F6A" w:rsidRPr="00BC22F7">
        <w:rPr>
          <w:rFonts w:ascii="Tahoma" w:hAnsi="Tahoma" w:cs="Tahoma"/>
          <w:sz w:val="23"/>
          <w:szCs w:val="23"/>
        </w:rPr>
        <w:t>.</w:t>
      </w:r>
      <w:r w:rsidR="002C0CBE" w:rsidRPr="00BC22F7">
        <w:rPr>
          <w:rFonts w:ascii="Tahoma" w:hAnsi="Tahoma" w:cs="Tahoma"/>
          <w:sz w:val="23"/>
          <w:szCs w:val="23"/>
        </w:rPr>
        <w:t>”</w:t>
      </w:r>
      <w:r w:rsidR="00F105FA" w:rsidRPr="00BC22F7">
        <w:rPr>
          <w:rFonts w:ascii="Tahoma" w:hAnsi="Tahoma" w:cs="Tahoma"/>
          <w:sz w:val="23"/>
          <w:szCs w:val="23"/>
        </w:rPr>
        <w:t xml:space="preserve"> Research con</w:t>
      </w:r>
      <w:r w:rsidR="00A83345" w:rsidRPr="00BC22F7">
        <w:rPr>
          <w:rFonts w:ascii="Tahoma" w:hAnsi="Tahoma" w:cs="Tahoma"/>
          <w:sz w:val="23"/>
          <w:szCs w:val="23"/>
        </w:rPr>
        <w:t>ducted in private sector organizations has</w:t>
      </w:r>
      <w:r w:rsidR="00F105FA" w:rsidRPr="00BC22F7">
        <w:rPr>
          <w:rFonts w:ascii="Tahoma" w:hAnsi="Tahoma" w:cs="Tahoma"/>
          <w:sz w:val="23"/>
          <w:szCs w:val="23"/>
        </w:rPr>
        <w:t xml:space="preserve"> reported that workforce diversity, when </w:t>
      </w:r>
      <w:r w:rsidR="006931E6" w:rsidRPr="00BC22F7">
        <w:rPr>
          <w:rFonts w:ascii="Tahoma" w:hAnsi="Tahoma" w:cs="Tahoma"/>
          <w:sz w:val="23"/>
          <w:szCs w:val="23"/>
        </w:rPr>
        <w:t xml:space="preserve">properly managed, results in increased attraction of top </w:t>
      </w:r>
      <w:r w:rsidR="002C0CBE" w:rsidRPr="00BC22F7">
        <w:rPr>
          <w:rFonts w:ascii="Tahoma" w:hAnsi="Tahoma" w:cs="Tahoma"/>
          <w:sz w:val="23"/>
          <w:szCs w:val="23"/>
        </w:rPr>
        <w:t>talent</w:t>
      </w:r>
      <w:r w:rsidR="00F105FA" w:rsidRPr="00BC22F7">
        <w:rPr>
          <w:rFonts w:ascii="Tahoma" w:hAnsi="Tahoma" w:cs="Tahoma"/>
          <w:sz w:val="23"/>
          <w:szCs w:val="23"/>
        </w:rPr>
        <w:t xml:space="preserve"> </w:t>
      </w:r>
      <w:r w:rsidR="006931E6" w:rsidRPr="00BC22F7">
        <w:rPr>
          <w:rFonts w:ascii="Tahoma" w:hAnsi="Tahoma" w:cs="Tahoma"/>
          <w:sz w:val="23"/>
          <w:szCs w:val="23"/>
        </w:rPr>
        <w:t xml:space="preserve">to an organization </w:t>
      </w:r>
      <w:r w:rsidR="00F105FA" w:rsidRPr="00BC22F7">
        <w:rPr>
          <w:rFonts w:ascii="Tahoma" w:hAnsi="Tahoma" w:cs="Tahoma"/>
          <w:sz w:val="23"/>
          <w:szCs w:val="23"/>
        </w:rPr>
        <w:t xml:space="preserve">(Ng &amp; Burke, 2005), better problem solving, and greater creativity and innovation </w:t>
      </w:r>
      <w:r w:rsidR="000F47A1" w:rsidRPr="00BC22F7">
        <w:rPr>
          <w:rFonts w:ascii="Tahoma" w:hAnsi="Tahoma" w:cs="Tahoma"/>
          <w:sz w:val="23"/>
          <w:szCs w:val="23"/>
        </w:rPr>
        <w:t>(Cox &amp; Blake, 1991)</w:t>
      </w:r>
      <w:r w:rsidR="00F105FA" w:rsidRPr="00BC22F7">
        <w:rPr>
          <w:rFonts w:ascii="Tahoma" w:hAnsi="Tahoma" w:cs="Tahoma"/>
          <w:sz w:val="23"/>
          <w:szCs w:val="23"/>
        </w:rPr>
        <w:t>. Although comparatively little research on the benefits of diversity has been conducted in the public sector,</w:t>
      </w:r>
      <w:r w:rsidR="006931E6" w:rsidRPr="00BC22F7">
        <w:rPr>
          <w:rFonts w:ascii="Tahoma" w:hAnsi="Tahoma" w:cs="Tahoma"/>
          <w:sz w:val="23"/>
          <w:szCs w:val="23"/>
        </w:rPr>
        <w:t xml:space="preserve"> similar advantages should accrue to </w:t>
      </w:r>
      <w:r w:rsidR="007B1B53" w:rsidRPr="00BC22F7">
        <w:rPr>
          <w:rFonts w:ascii="Tahoma" w:hAnsi="Tahoma" w:cs="Tahoma"/>
          <w:sz w:val="23"/>
          <w:szCs w:val="23"/>
        </w:rPr>
        <w:t xml:space="preserve">public sector </w:t>
      </w:r>
      <w:r w:rsidR="006931E6" w:rsidRPr="00BC22F7">
        <w:rPr>
          <w:rFonts w:ascii="Tahoma" w:hAnsi="Tahoma" w:cs="Tahoma"/>
          <w:sz w:val="23"/>
          <w:szCs w:val="23"/>
        </w:rPr>
        <w:t>organization</w:t>
      </w:r>
      <w:r w:rsidR="007B1B53" w:rsidRPr="00BC22F7">
        <w:rPr>
          <w:rFonts w:ascii="Tahoma" w:hAnsi="Tahoma" w:cs="Tahoma"/>
          <w:sz w:val="23"/>
          <w:szCs w:val="23"/>
        </w:rPr>
        <w:t xml:space="preserve">s </w:t>
      </w:r>
      <w:r w:rsidR="000F47A1" w:rsidRPr="00BC22F7">
        <w:rPr>
          <w:rFonts w:ascii="Tahoma" w:hAnsi="Tahoma" w:cs="Tahoma"/>
          <w:sz w:val="23"/>
          <w:szCs w:val="23"/>
        </w:rPr>
        <w:t>(Pitts &amp; Wise, 2010)</w:t>
      </w:r>
      <w:r w:rsidR="00F105FA" w:rsidRPr="00BC22F7">
        <w:rPr>
          <w:rFonts w:ascii="Tahoma" w:hAnsi="Tahoma" w:cs="Tahoma"/>
          <w:sz w:val="23"/>
          <w:szCs w:val="23"/>
        </w:rPr>
        <w:t>.</w:t>
      </w:r>
      <w:r w:rsidR="006931E6" w:rsidRPr="00BC22F7">
        <w:rPr>
          <w:rFonts w:ascii="Tahoma" w:hAnsi="Tahoma" w:cs="Tahoma"/>
          <w:sz w:val="23"/>
          <w:szCs w:val="23"/>
        </w:rPr>
        <w:t xml:space="preserve"> </w:t>
      </w:r>
      <w:r w:rsidR="002C0CBE" w:rsidRPr="00BC22F7">
        <w:rPr>
          <w:rFonts w:ascii="Tahoma" w:hAnsi="Tahoma" w:cs="Tahoma"/>
          <w:sz w:val="23"/>
          <w:szCs w:val="23"/>
        </w:rPr>
        <w:t>Finally</w:t>
      </w:r>
      <w:r w:rsidR="005E0F0E" w:rsidRPr="00BC22F7">
        <w:rPr>
          <w:rFonts w:ascii="Tahoma" w:hAnsi="Tahoma" w:cs="Tahoma"/>
          <w:sz w:val="23"/>
          <w:szCs w:val="23"/>
        </w:rPr>
        <w:t xml:space="preserve"> and perhaps most importantly</w:t>
      </w:r>
      <w:r w:rsidR="002C0CBE" w:rsidRPr="00BC22F7">
        <w:rPr>
          <w:rFonts w:ascii="Tahoma" w:hAnsi="Tahoma" w:cs="Tahoma"/>
          <w:sz w:val="23"/>
          <w:szCs w:val="23"/>
        </w:rPr>
        <w:t>, it is imperative that the public service achieves a r</w:t>
      </w:r>
      <w:r w:rsidR="00DF467A" w:rsidRPr="00BC22F7">
        <w:rPr>
          <w:rFonts w:ascii="Tahoma" w:hAnsi="Tahoma" w:cs="Tahoma"/>
          <w:sz w:val="23"/>
          <w:szCs w:val="23"/>
        </w:rPr>
        <w:t>epresentative bureaucracy</w:t>
      </w:r>
      <w:r w:rsidR="002C0CBE" w:rsidRPr="00BC22F7">
        <w:rPr>
          <w:rFonts w:ascii="Tahoma" w:hAnsi="Tahoma" w:cs="Tahoma"/>
          <w:sz w:val="23"/>
          <w:szCs w:val="23"/>
        </w:rPr>
        <w:t xml:space="preserve">. </w:t>
      </w:r>
      <w:r w:rsidR="006931E6" w:rsidRPr="00BC22F7">
        <w:rPr>
          <w:rFonts w:ascii="Tahoma" w:hAnsi="Tahoma" w:cs="Tahoma"/>
          <w:sz w:val="23"/>
          <w:szCs w:val="23"/>
        </w:rPr>
        <w:t>H</w:t>
      </w:r>
      <w:r w:rsidR="00AA509B" w:rsidRPr="00BC22F7">
        <w:rPr>
          <w:rFonts w:ascii="Tahoma" w:hAnsi="Tahoma" w:cs="Tahoma"/>
          <w:sz w:val="23"/>
          <w:szCs w:val="23"/>
        </w:rPr>
        <w:t xml:space="preserve">aving a </w:t>
      </w:r>
      <w:r w:rsidR="006931E6" w:rsidRPr="00BC22F7">
        <w:rPr>
          <w:rFonts w:ascii="Tahoma" w:hAnsi="Tahoma" w:cs="Tahoma"/>
          <w:sz w:val="23"/>
          <w:szCs w:val="23"/>
        </w:rPr>
        <w:t>public</w:t>
      </w:r>
      <w:r w:rsidR="001B392F" w:rsidRPr="00BC22F7">
        <w:rPr>
          <w:rFonts w:ascii="Tahoma" w:hAnsi="Tahoma" w:cs="Tahoma"/>
          <w:sz w:val="23"/>
          <w:szCs w:val="23"/>
        </w:rPr>
        <w:t xml:space="preserve"> service</w:t>
      </w:r>
      <w:r w:rsidR="00AA509B" w:rsidRPr="00BC22F7">
        <w:rPr>
          <w:rFonts w:ascii="Tahoma" w:hAnsi="Tahoma" w:cs="Tahoma"/>
          <w:sz w:val="23"/>
          <w:szCs w:val="23"/>
        </w:rPr>
        <w:t xml:space="preserve"> that </w:t>
      </w:r>
      <w:r w:rsidR="002855BD" w:rsidRPr="00BC22F7">
        <w:rPr>
          <w:rFonts w:ascii="Tahoma" w:hAnsi="Tahoma" w:cs="Tahoma"/>
          <w:sz w:val="23"/>
          <w:szCs w:val="23"/>
        </w:rPr>
        <w:t>mirrors</w:t>
      </w:r>
      <w:r w:rsidR="002C0CBE" w:rsidRPr="00BC22F7">
        <w:rPr>
          <w:rFonts w:ascii="Tahoma" w:hAnsi="Tahoma" w:cs="Tahoma"/>
          <w:sz w:val="23"/>
          <w:szCs w:val="23"/>
        </w:rPr>
        <w:t xml:space="preserve"> the </w:t>
      </w:r>
      <w:r w:rsidR="006931E6" w:rsidRPr="00BC22F7">
        <w:rPr>
          <w:rFonts w:ascii="Tahoma" w:hAnsi="Tahoma" w:cs="Tahoma"/>
          <w:sz w:val="23"/>
          <w:szCs w:val="23"/>
        </w:rPr>
        <w:t xml:space="preserve">growing </w:t>
      </w:r>
      <w:r w:rsidR="002855BD" w:rsidRPr="00BC22F7">
        <w:rPr>
          <w:rFonts w:ascii="Tahoma" w:hAnsi="Tahoma" w:cs="Tahoma"/>
          <w:sz w:val="23"/>
          <w:szCs w:val="23"/>
        </w:rPr>
        <w:t>diversity among Canadians is crucial to ensur</w:t>
      </w:r>
      <w:r w:rsidR="002C0CBE" w:rsidRPr="00BC22F7">
        <w:rPr>
          <w:rFonts w:ascii="Tahoma" w:hAnsi="Tahoma" w:cs="Tahoma"/>
          <w:sz w:val="23"/>
          <w:szCs w:val="23"/>
        </w:rPr>
        <w:t>ing</w:t>
      </w:r>
      <w:r w:rsidR="002855BD" w:rsidRPr="00BC22F7">
        <w:rPr>
          <w:rFonts w:ascii="Tahoma" w:hAnsi="Tahoma" w:cs="Tahoma"/>
          <w:sz w:val="23"/>
          <w:szCs w:val="23"/>
        </w:rPr>
        <w:t xml:space="preserve"> that policy setting and implementation are consistent with the interests of </w:t>
      </w:r>
      <w:r w:rsidR="0027629A" w:rsidRPr="00BC22F7">
        <w:rPr>
          <w:rFonts w:ascii="Tahoma" w:hAnsi="Tahoma" w:cs="Tahoma"/>
          <w:sz w:val="23"/>
          <w:szCs w:val="23"/>
        </w:rPr>
        <w:t xml:space="preserve">each </w:t>
      </w:r>
      <w:r w:rsidR="002855BD" w:rsidRPr="00BC22F7">
        <w:rPr>
          <w:rFonts w:ascii="Tahoma" w:hAnsi="Tahoma" w:cs="Tahoma"/>
          <w:sz w:val="23"/>
          <w:szCs w:val="23"/>
        </w:rPr>
        <w:t>growing segment of the population</w:t>
      </w:r>
      <w:r w:rsidR="001B392F" w:rsidRPr="00BC22F7">
        <w:rPr>
          <w:rFonts w:ascii="Tahoma" w:hAnsi="Tahoma" w:cs="Tahoma"/>
          <w:sz w:val="23"/>
          <w:szCs w:val="23"/>
        </w:rPr>
        <w:t xml:space="preserve"> (</w:t>
      </w:r>
      <w:r w:rsidR="00FD5827" w:rsidRPr="00BC22F7">
        <w:rPr>
          <w:rFonts w:ascii="Tahoma" w:hAnsi="Tahoma" w:cs="Tahoma"/>
          <w:sz w:val="23"/>
          <w:szCs w:val="23"/>
        </w:rPr>
        <w:t>Rich, 1975</w:t>
      </w:r>
      <w:r w:rsidR="00E00FC5" w:rsidRPr="00BC22F7">
        <w:rPr>
          <w:rFonts w:ascii="Tahoma" w:hAnsi="Tahoma" w:cs="Tahoma"/>
          <w:sz w:val="23"/>
          <w:szCs w:val="23"/>
        </w:rPr>
        <w:t xml:space="preserve">; </w:t>
      </w:r>
      <w:proofErr w:type="spellStart"/>
      <w:r w:rsidR="00E00FC5" w:rsidRPr="00BC22F7">
        <w:rPr>
          <w:rFonts w:ascii="Tahoma" w:hAnsi="Tahoma" w:cs="Tahoma"/>
          <w:sz w:val="23"/>
          <w:szCs w:val="23"/>
        </w:rPr>
        <w:t>Ogmundson</w:t>
      </w:r>
      <w:proofErr w:type="spellEnd"/>
      <w:r w:rsidR="00E00FC5" w:rsidRPr="00BC22F7">
        <w:rPr>
          <w:rFonts w:ascii="Tahoma" w:hAnsi="Tahoma" w:cs="Tahoma"/>
          <w:sz w:val="23"/>
          <w:szCs w:val="23"/>
        </w:rPr>
        <w:t>, 2005</w:t>
      </w:r>
      <w:r w:rsidR="001B392F" w:rsidRPr="00BC22F7">
        <w:rPr>
          <w:rFonts w:ascii="Tahoma" w:hAnsi="Tahoma" w:cs="Tahoma"/>
          <w:sz w:val="23"/>
          <w:szCs w:val="23"/>
        </w:rPr>
        <w:t>)</w:t>
      </w:r>
      <w:r w:rsidR="002855BD" w:rsidRPr="00BC22F7">
        <w:rPr>
          <w:rFonts w:ascii="Tahoma" w:hAnsi="Tahoma" w:cs="Tahoma"/>
          <w:sz w:val="23"/>
          <w:szCs w:val="23"/>
        </w:rPr>
        <w:t xml:space="preserve">. </w:t>
      </w:r>
      <w:r w:rsidR="0028309A" w:rsidRPr="00BC22F7">
        <w:rPr>
          <w:rFonts w:ascii="Tahoma" w:hAnsi="Tahoma" w:cs="Tahoma"/>
          <w:sz w:val="23"/>
          <w:szCs w:val="23"/>
        </w:rPr>
        <w:t>Achieving a more repres</w:t>
      </w:r>
      <w:r w:rsidR="005E0F0E" w:rsidRPr="00BC22F7">
        <w:rPr>
          <w:rFonts w:ascii="Tahoma" w:hAnsi="Tahoma" w:cs="Tahoma"/>
          <w:sz w:val="23"/>
          <w:szCs w:val="23"/>
        </w:rPr>
        <w:t>en</w:t>
      </w:r>
      <w:r w:rsidR="0028309A" w:rsidRPr="00BC22F7">
        <w:rPr>
          <w:rFonts w:ascii="Tahoma" w:hAnsi="Tahoma" w:cs="Tahoma"/>
          <w:sz w:val="23"/>
          <w:szCs w:val="23"/>
        </w:rPr>
        <w:t xml:space="preserve">tative bureaucracy </w:t>
      </w:r>
      <w:r w:rsidR="002C0CBE" w:rsidRPr="00BC22F7">
        <w:rPr>
          <w:rFonts w:ascii="Tahoma" w:hAnsi="Tahoma" w:cs="Tahoma"/>
          <w:sz w:val="23"/>
          <w:szCs w:val="23"/>
        </w:rPr>
        <w:t xml:space="preserve">would </w:t>
      </w:r>
      <w:r w:rsidR="00D81F6A" w:rsidRPr="00BC22F7">
        <w:rPr>
          <w:rFonts w:ascii="Tahoma" w:hAnsi="Tahoma" w:cs="Tahoma"/>
          <w:sz w:val="23"/>
          <w:szCs w:val="23"/>
        </w:rPr>
        <w:t xml:space="preserve">also </w:t>
      </w:r>
      <w:r w:rsidR="002855BD" w:rsidRPr="00BC22F7">
        <w:rPr>
          <w:rFonts w:ascii="Tahoma" w:hAnsi="Tahoma" w:cs="Tahoma"/>
          <w:sz w:val="23"/>
          <w:szCs w:val="23"/>
        </w:rPr>
        <w:t>reaffirm Canada’s commitment to its multiculturalism policy which requires the government to be sensitive and responsive to the multicultural realities of Canada</w:t>
      </w:r>
      <w:r w:rsidR="008961F5" w:rsidRPr="00BC22F7">
        <w:rPr>
          <w:rFonts w:ascii="Tahoma" w:hAnsi="Tahoma" w:cs="Tahoma"/>
          <w:sz w:val="23"/>
          <w:szCs w:val="23"/>
        </w:rPr>
        <w:t xml:space="preserve"> (</w:t>
      </w:r>
      <w:r w:rsidR="001B392F" w:rsidRPr="00BC22F7">
        <w:rPr>
          <w:rFonts w:ascii="Tahoma" w:hAnsi="Tahoma" w:cs="Tahoma"/>
          <w:sz w:val="23"/>
          <w:szCs w:val="23"/>
        </w:rPr>
        <w:t xml:space="preserve">cf. </w:t>
      </w:r>
      <w:r w:rsidR="008961F5" w:rsidRPr="00BC22F7">
        <w:rPr>
          <w:rFonts w:ascii="Tahoma" w:hAnsi="Tahoma" w:cs="Tahoma"/>
          <w:sz w:val="23"/>
          <w:szCs w:val="23"/>
        </w:rPr>
        <w:t>Haq &amp; Ng, 2010)</w:t>
      </w:r>
      <w:r w:rsidR="002855BD" w:rsidRPr="00BC22F7">
        <w:rPr>
          <w:rFonts w:ascii="Tahoma" w:hAnsi="Tahoma" w:cs="Tahoma"/>
          <w:sz w:val="23"/>
          <w:szCs w:val="23"/>
        </w:rPr>
        <w:t>.</w:t>
      </w:r>
    </w:p>
    <w:p w:rsidR="00871E8B" w:rsidRPr="00BC22F7" w:rsidRDefault="00871E8B" w:rsidP="008A026D">
      <w:pPr>
        <w:spacing w:after="0" w:line="240" w:lineRule="auto"/>
        <w:rPr>
          <w:rFonts w:ascii="Tahoma" w:hAnsi="Tahoma" w:cs="Tahoma"/>
          <w:sz w:val="23"/>
          <w:szCs w:val="23"/>
        </w:rPr>
      </w:pPr>
    </w:p>
    <w:p w:rsidR="00F63AC9" w:rsidRPr="00BC22F7" w:rsidRDefault="00F63AC9" w:rsidP="008A026D">
      <w:pPr>
        <w:spacing w:after="0" w:line="240" w:lineRule="auto"/>
        <w:rPr>
          <w:rFonts w:ascii="Tahoma" w:hAnsi="Tahoma" w:cs="Tahoma"/>
          <w:sz w:val="23"/>
          <w:szCs w:val="23"/>
        </w:rPr>
      </w:pPr>
    </w:p>
    <w:p w:rsidR="00C555B4" w:rsidRPr="00BC22F7" w:rsidRDefault="00C555B4" w:rsidP="008A026D">
      <w:pPr>
        <w:spacing w:after="0" w:line="240" w:lineRule="auto"/>
        <w:jc w:val="center"/>
        <w:rPr>
          <w:rFonts w:ascii="Tahoma" w:hAnsi="Tahoma" w:cs="Tahoma"/>
          <w:sz w:val="23"/>
          <w:szCs w:val="23"/>
        </w:rPr>
      </w:pPr>
      <w:r w:rsidRPr="00BC22F7">
        <w:rPr>
          <w:rFonts w:ascii="Tahoma" w:hAnsi="Tahoma" w:cs="Tahoma"/>
          <w:sz w:val="23"/>
          <w:szCs w:val="23"/>
        </w:rPr>
        <w:t>Representative Bureaucracy</w:t>
      </w:r>
    </w:p>
    <w:p w:rsidR="00C555B4" w:rsidRPr="00BC22F7" w:rsidRDefault="00C555B4" w:rsidP="008A026D">
      <w:pPr>
        <w:spacing w:after="0" w:line="240" w:lineRule="auto"/>
        <w:rPr>
          <w:rFonts w:ascii="Tahoma" w:hAnsi="Tahoma" w:cs="Tahoma"/>
          <w:sz w:val="23"/>
          <w:szCs w:val="23"/>
        </w:rPr>
      </w:pPr>
    </w:p>
    <w:p w:rsidR="00DB2FFF" w:rsidRPr="00BC22F7" w:rsidRDefault="005238D8">
      <w:pPr>
        <w:spacing w:after="0" w:line="240" w:lineRule="auto"/>
        <w:ind w:firstLine="720"/>
        <w:rPr>
          <w:rFonts w:ascii="Tahoma" w:hAnsi="Tahoma" w:cs="Tahoma"/>
          <w:sz w:val="23"/>
          <w:szCs w:val="23"/>
        </w:rPr>
      </w:pPr>
      <w:r w:rsidRPr="00BC22F7">
        <w:rPr>
          <w:rFonts w:ascii="Tahoma" w:hAnsi="Tahoma" w:cs="Tahoma"/>
          <w:sz w:val="23"/>
          <w:szCs w:val="23"/>
        </w:rPr>
        <w:t>Despite the changing d</w:t>
      </w:r>
      <w:r w:rsidR="006931E6" w:rsidRPr="00BC22F7">
        <w:rPr>
          <w:rFonts w:ascii="Tahoma" w:hAnsi="Tahoma" w:cs="Tahoma"/>
          <w:sz w:val="23"/>
          <w:szCs w:val="23"/>
        </w:rPr>
        <w:t>emographic landscape in Canada,</w:t>
      </w:r>
      <w:r w:rsidR="00A7424F" w:rsidRPr="00BC22F7">
        <w:rPr>
          <w:rFonts w:ascii="Tahoma" w:hAnsi="Tahoma" w:cs="Tahoma"/>
          <w:sz w:val="23"/>
          <w:szCs w:val="23"/>
        </w:rPr>
        <w:t xml:space="preserve"> very little has been written on </w:t>
      </w:r>
      <w:r w:rsidRPr="00BC22F7">
        <w:rPr>
          <w:rFonts w:ascii="Tahoma" w:hAnsi="Tahoma" w:cs="Tahoma"/>
          <w:sz w:val="23"/>
          <w:szCs w:val="23"/>
        </w:rPr>
        <w:t xml:space="preserve">the topic of </w:t>
      </w:r>
      <w:r w:rsidR="00E304F4" w:rsidRPr="00BC22F7">
        <w:rPr>
          <w:rFonts w:ascii="Tahoma" w:hAnsi="Tahoma" w:cs="Tahoma"/>
          <w:sz w:val="23"/>
          <w:szCs w:val="23"/>
        </w:rPr>
        <w:t xml:space="preserve">representative bureaucracy </w:t>
      </w:r>
      <w:r w:rsidR="006C4D07" w:rsidRPr="00BC22F7">
        <w:rPr>
          <w:rFonts w:ascii="Tahoma" w:hAnsi="Tahoma" w:cs="Tahoma"/>
          <w:sz w:val="23"/>
          <w:szCs w:val="23"/>
        </w:rPr>
        <w:t xml:space="preserve">in </w:t>
      </w:r>
      <w:r w:rsidR="00E304F4" w:rsidRPr="00BC22F7">
        <w:rPr>
          <w:rFonts w:ascii="Tahoma" w:hAnsi="Tahoma" w:cs="Tahoma"/>
          <w:sz w:val="23"/>
          <w:szCs w:val="23"/>
        </w:rPr>
        <w:t xml:space="preserve">the Canadian </w:t>
      </w:r>
      <w:r w:rsidR="006931E6" w:rsidRPr="00BC22F7">
        <w:rPr>
          <w:rFonts w:ascii="Tahoma" w:hAnsi="Tahoma" w:cs="Tahoma"/>
          <w:sz w:val="23"/>
          <w:szCs w:val="23"/>
        </w:rPr>
        <w:t>public sector</w:t>
      </w:r>
      <w:r w:rsidR="006C4D07" w:rsidRPr="00BC22F7">
        <w:rPr>
          <w:rFonts w:ascii="Tahoma" w:hAnsi="Tahoma" w:cs="Tahoma"/>
          <w:sz w:val="23"/>
          <w:szCs w:val="23"/>
        </w:rPr>
        <w:t xml:space="preserve"> </w:t>
      </w:r>
      <w:r w:rsidR="00330EA0" w:rsidRPr="00BC22F7">
        <w:rPr>
          <w:rFonts w:ascii="Tahoma" w:hAnsi="Tahoma" w:cs="Tahoma"/>
          <w:sz w:val="23"/>
          <w:szCs w:val="23"/>
        </w:rPr>
        <w:t>(</w:t>
      </w:r>
      <w:proofErr w:type="spellStart"/>
      <w:r w:rsidR="00E304F4" w:rsidRPr="00BC22F7">
        <w:rPr>
          <w:rFonts w:ascii="Tahoma" w:hAnsi="Tahoma" w:cs="Tahoma"/>
          <w:sz w:val="23"/>
          <w:szCs w:val="23"/>
        </w:rPr>
        <w:t>Agocs</w:t>
      </w:r>
      <w:proofErr w:type="spellEnd"/>
      <w:r w:rsidR="00E304F4" w:rsidRPr="00BC22F7">
        <w:rPr>
          <w:rFonts w:ascii="Tahoma" w:hAnsi="Tahoma" w:cs="Tahoma"/>
          <w:sz w:val="23"/>
          <w:szCs w:val="23"/>
        </w:rPr>
        <w:t>, 2012</w:t>
      </w:r>
      <w:r w:rsidR="00330EA0" w:rsidRPr="00BC22F7">
        <w:rPr>
          <w:rFonts w:ascii="Tahoma" w:hAnsi="Tahoma" w:cs="Tahoma"/>
          <w:sz w:val="23"/>
          <w:szCs w:val="23"/>
        </w:rPr>
        <w:t>)</w:t>
      </w:r>
      <w:r w:rsidR="00A7424F" w:rsidRPr="00BC22F7">
        <w:rPr>
          <w:rFonts w:ascii="Tahoma" w:hAnsi="Tahoma" w:cs="Tahoma"/>
          <w:sz w:val="23"/>
          <w:szCs w:val="23"/>
        </w:rPr>
        <w:t>.</w:t>
      </w:r>
      <w:r w:rsidR="00C314BB" w:rsidRPr="00BC22F7">
        <w:rPr>
          <w:rFonts w:ascii="Tahoma" w:hAnsi="Tahoma" w:cs="Tahoma"/>
          <w:sz w:val="23"/>
          <w:szCs w:val="23"/>
        </w:rPr>
        <w:t xml:space="preserve">  Much of </w:t>
      </w:r>
      <w:r w:rsidR="005D76B8" w:rsidRPr="00BC22F7">
        <w:rPr>
          <w:rFonts w:ascii="Tahoma" w:hAnsi="Tahoma" w:cs="Tahoma"/>
          <w:sz w:val="23"/>
          <w:szCs w:val="23"/>
        </w:rPr>
        <w:t xml:space="preserve">the </w:t>
      </w:r>
      <w:r w:rsidR="00C314BB" w:rsidRPr="00BC22F7">
        <w:rPr>
          <w:rFonts w:ascii="Tahoma" w:hAnsi="Tahoma" w:cs="Tahoma"/>
          <w:sz w:val="23"/>
          <w:szCs w:val="23"/>
        </w:rPr>
        <w:t xml:space="preserve">existing literature </w:t>
      </w:r>
      <w:r w:rsidR="00430A4B" w:rsidRPr="00BC22F7">
        <w:rPr>
          <w:rFonts w:ascii="Tahoma" w:hAnsi="Tahoma" w:cs="Tahoma"/>
          <w:sz w:val="23"/>
          <w:szCs w:val="23"/>
        </w:rPr>
        <w:t xml:space="preserve">on representative bureaucracy </w:t>
      </w:r>
      <w:r w:rsidR="00C314BB" w:rsidRPr="00BC22F7">
        <w:rPr>
          <w:rFonts w:ascii="Tahoma" w:hAnsi="Tahoma" w:cs="Tahoma"/>
          <w:sz w:val="23"/>
          <w:szCs w:val="23"/>
        </w:rPr>
        <w:t xml:space="preserve">has focused on linguistic representation pertaining to </w:t>
      </w:r>
      <w:r w:rsidR="006931E6" w:rsidRPr="00BC22F7">
        <w:rPr>
          <w:rFonts w:ascii="Tahoma" w:hAnsi="Tahoma" w:cs="Tahoma"/>
          <w:sz w:val="23"/>
          <w:szCs w:val="23"/>
        </w:rPr>
        <w:t xml:space="preserve">the </w:t>
      </w:r>
      <w:r w:rsidR="00C314BB" w:rsidRPr="00BC22F7">
        <w:rPr>
          <w:rFonts w:ascii="Tahoma" w:hAnsi="Tahoma" w:cs="Tahoma"/>
          <w:sz w:val="23"/>
          <w:szCs w:val="23"/>
        </w:rPr>
        <w:t>French language</w:t>
      </w:r>
      <w:r w:rsidR="006931E6" w:rsidRPr="00BC22F7">
        <w:rPr>
          <w:rFonts w:ascii="Tahoma" w:hAnsi="Tahoma" w:cs="Tahoma"/>
          <w:sz w:val="23"/>
          <w:szCs w:val="23"/>
        </w:rPr>
        <w:t xml:space="preserve">, which ties in to issues of </w:t>
      </w:r>
      <w:r w:rsidR="00330EA0" w:rsidRPr="00BC22F7">
        <w:rPr>
          <w:rFonts w:ascii="Tahoma" w:hAnsi="Tahoma" w:cs="Tahoma"/>
          <w:sz w:val="23"/>
          <w:szCs w:val="23"/>
        </w:rPr>
        <w:t>national unity</w:t>
      </w:r>
      <w:r w:rsidR="00A80003" w:rsidRPr="00BC22F7">
        <w:rPr>
          <w:rFonts w:ascii="Tahoma" w:hAnsi="Tahoma" w:cs="Tahoma"/>
          <w:sz w:val="23"/>
          <w:szCs w:val="23"/>
        </w:rPr>
        <w:t xml:space="preserve"> (e.g., </w:t>
      </w:r>
      <w:proofErr w:type="spellStart"/>
      <w:r w:rsidR="00A80003" w:rsidRPr="00BC22F7">
        <w:rPr>
          <w:rFonts w:ascii="Tahoma" w:hAnsi="Tahoma" w:cs="Tahoma"/>
          <w:sz w:val="23"/>
          <w:szCs w:val="23"/>
        </w:rPr>
        <w:t>Kernaghan</w:t>
      </w:r>
      <w:proofErr w:type="spellEnd"/>
      <w:r w:rsidR="00A80003" w:rsidRPr="00BC22F7">
        <w:rPr>
          <w:rFonts w:ascii="Tahoma" w:hAnsi="Tahoma" w:cs="Tahoma"/>
          <w:sz w:val="23"/>
          <w:szCs w:val="23"/>
        </w:rPr>
        <w:t>, 1978; Rich, 1975; Wilson &amp; Mullins, 1978)</w:t>
      </w:r>
      <w:r w:rsidR="00330EA0" w:rsidRPr="00BC22F7">
        <w:rPr>
          <w:rFonts w:ascii="Tahoma" w:hAnsi="Tahoma" w:cs="Tahoma"/>
          <w:sz w:val="23"/>
          <w:szCs w:val="23"/>
        </w:rPr>
        <w:t>.</w:t>
      </w:r>
      <w:r w:rsidR="00A80003" w:rsidRPr="00BC22F7">
        <w:rPr>
          <w:rFonts w:ascii="Tahoma" w:hAnsi="Tahoma" w:cs="Tahoma"/>
          <w:sz w:val="23"/>
          <w:szCs w:val="23"/>
        </w:rPr>
        <w:t xml:space="preserve"> </w:t>
      </w:r>
      <w:r w:rsidRPr="00BC22F7">
        <w:rPr>
          <w:rFonts w:ascii="Tahoma" w:hAnsi="Tahoma" w:cs="Tahoma"/>
          <w:sz w:val="23"/>
          <w:szCs w:val="23"/>
        </w:rPr>
        <w:t xml:space="preserve">In </w:t>
      </w:r>
      <w:r w:rsidR="006931E6" w:rsidRPr="00BC22F7">
        <w:rPr>
          <w:rFonts w:ascii="Tahoma" w:hAnsi="Tahoma" w:cs="Tahoma"/>
          <w:sz w:val="23"/>
          <w:szCs w:val="23"/>
        </w:rPr>
        <w:t>a seminal article outlining the principles of representative bureaucracy</w:t>
      </w:r>
      <w:r w:rsidRPr="00BC22F7">
        <w:rPr>
          <w:rFonts w:ascii="Tahoma" w:hAnsi="Tahoma" w:cs="Tahoma"/>
          <w:sz w:val="23"/>
          <w:szCs w:val="23"/>
        </w:rPr>
        <w:t xml:space="preserve">, </w:t>
      </w:r>
      <w:r w:rsidR="000F47A1" w:rsidRPr="00BC22F7">
        <w:rPr>
          <w:rFonts w:ascii="Tahoma" w:hAnsi="Tahoma" w:cs="Tahoma"/>
          <w:sz w:val="23"/>
          <w:szCs w:val="23"/>
        </w:rPr>
        <w:t>Kingsley (1944</w:t>
      </w:r>
      <w:r w:rsidR="00D36995" w:rsidRPr="00BC22F7">
        <w:rPr>
          <w:rFonts w:ascii="Tahoma" w:hAnsi="Tahoma" w:cs="Tahoma"/>
          <w:sz w:val="23"/>
          <w:szCs w:val="23"/>
        </w:rPr>
        <w:t xml:space="preserve">, cf. Rich, 1976) critiqued the administrative class in Britain as acting </w:t>
      </w:r>
      <w:r w:rsidR="006931E6" w:rsidRPr="00BC22F7">
        <w:rPr>
          <w:rFonts w:ascii="Tahoma" w:hAnsi="Tahoma" w:cs="Tahoma"/>
          <w:sz w:val="23"/>
          <w:szCs w:val="23"/>
        </w:rPr>
        <w:t xml:space="preserve">primarily </w:t>
      </w:r>
      <w:r w:rsidR="00D36995" w:rsidRPr="00BC22F7">
        <w:rPr>
          <w:rFonts w:ascii="Tahoma" w:hAnsi="Tahoma" w:cs="Tahoma"/>
          <w:sz w:val="23"/>
          <w:szCs w:val="23"/>
        </w:rPr>
        <w:t xml:space="preserve">in the interests of the “upper middle class” </w:t>
      </w:r>
      <w:r w:rsidR="00BA4531" w:rsidRPr="00BC22F7">
        <w:rPr>
          <w:rFonts w:ascii="Tahoma" w:hAnsi="Tahoma" w:cs="Tahoma"/>
          <w:sz w:val="23"/>
          <w:szCs w:val="23"/>
        </w:rPr>
        <w:t xml:space="preserve"> </w:t>
      </w:r>
      <w:r w:rsidR="00F23132" w:rsidRPr="00BC22F7">
        <w:rPr>
          <w:rFonts w:ascii="Tahoma" w:hAnsi="Tahoma" w:cs="Tahoma"/>
          <w:sz w:val="23"/>
          <w:szCs w:val="23"/>
        </w:rPr>
        <w:t xml:space="preserve">and neglecting the interests of society-at-large, largely </w:t>
      </w:r>
      <w:r w:rsidR="00D36995" w:rsidRPr="00BC22F7">
        <w:rPr>
          <w:rFonts w:ascii="Tahoma" w:hAnsi="Tahoma" w:cs="Tahoma"/>
          <w:sz w:val="23"/>
          <w:szCs w:val="23"/>
        </w:rPr>
        <w:t xml:space="preserve">because </w:t>
      </w:r>
      <w:r w:rsidR="006931E6" w:rsidRPr="00BC22F7">
        <w:rPr>
          <w:rFonts w:ascii="Tahoma" w:hAnsi="Tahoma" w:cs="Tahoma"/>
          <w:sz w:val="23"/>
          <w:szCs w:val="23"/>
        </w:rPr>
        <w:t>the British bureaucracy</w:t>
      </w:r>
      <w:r w:rsidR="00D36995" w:rsidRPr="00BC22F7">
        <w:rPr>
          <w:rFonts w:ascii="Tahoma" w:hAnsi="Tahoma" w:cs="Tahoma"/>
          <w:sz w:val="23"/>
          <w:szCs w:val="23"/>
        </w:rPr>
        <w:t xml:space="preserve"> </w:t>
      </w:r>
      <w:r w:rsidR="00F23132" w:rsidRPr="00BC22F7">
        <w:rPr>
          <w:rFonts w:ascii="Tahoma" w:hAnsi="Tahoma" w:cs="Tahoma"/>
          <w:sz w:val="23"/>
          <w:szCs w:val="23"/>
        </w:rPr>
        <w:t xml:space="preserve">did not </w:t>
      </w:r>
      <w:r w:rsidR="004F7956" w:rsidRPr="00BC22F7">
        <w:rPr>
          <w:rFonts w:ascii="Tahoma" w:hAnsi="Tahoma" w:cs="Tahoma"/>
          <w:sz w:val="23"/>
          <w:szCs w:val="23"/>
        </w:rPr>
        <w:t>adequately reflect the socio-economic and demographic composition of British society</w:t>
      </w:r>
      <w:r w:rsidR="002A5D03" w:rsidRPr="00BC22F7">
        <w:rPr>
          <w:rFonts w:ascii="Tahoma" w:hAnsi="Tahoma" w:cs="Tahoma"/>
          <w:sz w:val="23"/>
          <w:szCs w:val="23"/>
        </w:rPr>
        <w:t>.</w:t>
      </w:r>
      <w:r w:rsidRPr="00BC22F7">
        <w:rPr>
          <w:rFonts w:ascii="Tahoma" w:hAnsi="Tahoma" w:cs="Tahoma"/>
          <w:sz w:val="23"/>
          <w:szCs w:val="23"/>
        </w:rPr>
        <w:t xml:space="preserve"> Thus, a key premise underlying the notion or representative bureaucracy is that a lack of fair representation in public sector institutions can </w:t>
      </w:r>
      <w:r w:rsidR="002A5D03" w:rsidRPr="00BC22F7">
        <w:rPr>
          <w:rFonts w:ascii="Tahoma" w:hAnsi="Tahoma" w:cs="Tahoma"/>
          <w:sz w:val="23"/>
          <w:szCs w:val="23"/>
        </w:rPr>
        <w:t xml:space="preserve">result in the denial of </w:t>
      </w:r>
      <w:r w:rsidR="00D36995" w:rsidRPr="00BC22F7">
        <w:rPr>
          <w:rFonts w:ascii="Tahoma" w:hAnsi="Tahoma" w:cs="Tahoma"/>
          <w:sz w:val="23"/>
          <w:szCs w:val="23"/>
        </w:rPr>
        <w:t xml:space="preserve">opportunities </w:t>
      </w:r>
      <w:r w:rsidR="00A84FCA" w:rsidRPr="00BC22F7">
        <w:rPr>
          <w:rFonts w:ascii="Tahoma" w:hAnsi="Tahoma" w:cs="Tahoma"/>
          <w:sz w:val="23"/>
          <w:szCs w:val="23"/>
        </w:rPr>
        <w:t xml:space="preserve">and </w:t>
      </w:r>
      <w:r w:rsidR="00BA4531" w:rsidRPr="00BC22F7">
        <w:rPr>
          <w:rFonts w:ascii="Tahoma" w:hAnsi="Tahoma" w:cs="Tahoma"/>
          <w:sz w:val="23"/>
          <w:szCs w:val="23"/>
        </w:rPr>
        <w:t>in</w:t>
      </w:r>
      <w:r w:rsidRPr="00BC22F7">
        <w:rPr>
          <w:rFonts w:ascii="Tahoma" w:hAnsi="Tahoma" w:cs="Tahoma"/>
          <w:sz w:val="23"/>
          <w:szCs w:val="23"/>
        </w:rPr>
        <w:t xml:space="preserve">equitable treatment for </w:t>
      </w:r>
      <w:r w:rsidR="00D36995" w:rsidRPr="00BC22F7">
        <w:rPr>
          <w:rFonts w:ascii="Tahoma" w:hAnsi="Tahoma" w:cs="Tahoma"/>
          <w:sz w:val="23"/>
          <w:szCs w:val="23"/>
        </w:rPr>
        <w:t xml:space="preserve">those who are not members of </w:t>
      </w:r>
      <w:r w:rsidR="00770785" w:rsidRPr="00BC22F7">
        <w:rPr>
          <w:rFonts w:ascii="Tahoma" w:hAnsi="Tahoma" w:cs="Tahoma"/>
          <w:sz w:val="23"/>
          <w:szCs w:val="23"/>
        </w:rPr>
        <w:t xml:space="preserve">the </w:t>
      </w:r>
      <w:r w:rsidR="00D36995" w:rsidRPr="00BC22F7">
        <w:rPr>
          <w:rFonts w:ascii="Tahoma" w:hAnsi="Tahoma" w:cs="Tahoma"/>
          <w:sz w:val="23"/>
          <w:szCs w:val="23"/>
        </w:rPr>
        <w:t xml:space="preserve">dominant group. </w:t>
      </w:r>
      <w:r w:rsidR="000F47A1" w:rsidRPr="00BC22F7">
        <w:rPr>
          <w:rFonts w:ascii="Tahoma" w:hAnsi="Tahoma" w:cs="Tahoma"/>
          <w:sz w:val="23"/>
          <w:szCs w:val="23"/>
        </w:rPr>
        <w:t>Mosher (1982)</w:t>
      </w:r>
      <w:r w:rsidR="006931E6" w:rsidRPr="00BC22F7">
        <w:rPr>
          <w:rFonts w:ascii="Tahoma" w:hAnsi="Tahoma" w:cs="Tahoma"/>
          <w:sz w:val="23"/>
          <w:szCs w:val="23"/>
        </w:rPr>
        <w:t xml:space="preserve"> later </w:t>
      </w:r>
      <w:r w:rsidR="00A84FCA" w:rsidRPr="00BC22F7">
        <w:rPr>
          <w:rFonts w:ascii="Tahoma" w:hAnsi="Tahoma" w:cs="Tahoma"/>
          <w:sz w:val="23"/>
          <w:szCs w:val="23"/>
        </w:rPr>
        <w:t>refined the theory of representative bureaucracy</w:t>
      </w:r>
      <w:r w:rsidR="006931E6" w:rsidRPr="00BC22F7">
        <w:rPr>
          <w:rFonts w:ascii="Tahoma" w:hAnsi="Tahoma" w:cs="Tahoma"/>
          <w:sz w:val="23"/>
          <w:szCs w:val="23"/>
        </w:rPr>
        <w:t>, identifying two key components:</w:t>
      </w:r>
      <w:r w:rsidR="00A84FCA" w:rsidRPr="00BC22F7">
        <w:rPr>
          <w:rFonts w:ascii="Tahoma" w:hAnsi="Tahoma" w:cs="Tahoma"/>
          <w:sz w:val="23"/>
          <w:szCs w:val="23"/>
        </w:rPr>
        <w:t xml:space="preserve"> </w:t>
      </w:r>
      <w:r w:rsidR="006C4D07" w:rsidRPr="00BC22F7">
        <w:rPr>
          <w:rFonts w:ascii="Tahoma" w:hAnsi="Tahoma" w:cs="Tahoma"/>
          <w:sz w:val="23"/>
          <w:szCs w:val="23"/>
        </w:rPr>
        <w:t xml:space="preserve">‘active’ </w:t>
      </w:r>
      <w:r w:rsidR="006931E6" w:rsidRPr="00BC22F7">
        <w:rPr>
          <w:rFonts w:ascii="Tahoma" w:hAnsi="Tahoma" w:cs="Tahoma"/>
          <w:sz w:val="23"/>
          <w:szCs w:val="23"/>
        </w:rPr>
        <w:t xml:space="preserve">representation </w:t>
      </w:r>
      <w:r w:rsidR="006C4D07" w:rsidRPr="00BC22F7">
        <w:rPr>
          <w:rFonts w:ascii="Tahoma" w:hAnsi="Tahoma" w:cs="Tahoma"/>
          <w:sz w:val="23"/>
          <w:szCs w:val="23"/>
        </w:rPr>
        <w:t xml:space="preserve">and ‘passive’ representation. </w:t>
      </w:r>
      <w:r w:rsidR="00AA5DF6" w:rsidRPr="00BC22F7">
        <w:rPr>
          <w:rFonts w:ascii="Tahoma" w:hAnsi="Tahoma" w:cs="Tahoma"/>
          <w:i/>
          <w:sz w:val="23"/>
          <w:szCs w:val="23"/>
        </w:rPr>
        <w:t>P</w:t>
      </w:r>
      <w:r w:rsidR="00854C91" w:rsidRPr="00BC22F7">
        <w:rPr>
          <w:rFonts w:ascii="Tahoma" w:hAnsi="Tahoma" w:cs="Tahoma"/>
          <w:i/>
          <w:sz w:val="23"/>
          <w:szCs w:val="23"/>
        </w:rPr>
        <w:t xml:space="preserve">assive </w:t>
      </w:r>
      <w:r w:rsidR="00854C91" w:rsidRPr="00BC22F7">
        <w:rPr>
          <w:rFonts w:ascii="Tahoma" w:hAnsi="Tahoma" w:cs="Tahoma"/>
          <w:sz w:val="23"/>
          <w:szCs w:val="23"/>
        </w:rPr>
        <w:t>representation</w:t>
      </w:r>
      <w:r w:rsidR="00E304F4" w:rsidRPr="00BC22F7">
        <w:rPr>
          <w:rFonts w:ascii="Tahoma" w:hAnsi="Tahoma" w:cs="Tahoma"/>
          <w:sz w:val="23"/>
          <w:szCs w:val="23"/>
        </w:rPr>
        <w:t xml:space="preserve"> occurs when</w:t>
      </w:r>
      <w:r w:rsidR="00854C91" w:rsidRPr="00BC22F7">
        <w:rPr>
          <w:rFonts w:ascii="Tahoma" w:hAnsi="Tahoma" w:cs="Tahoma"/>
          <w:sz w:val="23"/>
          <w:szCs w:val="23"/>
        </w:rPr>
        <w:t xml:space="preserve"> bureaucrats </w:t>
      </w:r>
      <w:r w:rsidR="00DD5848" w:rsidRPr="00BC22F7">
        <w:rPr>
          <w:rFonts w:ascii="Tahoma" w:hAnsi="Tahoma" w:cs="Tahoma"/>
          <w:sz w:val="23"/>
          <w:szCs w:val="23"/>
        </w:rPr>
        <w:t xml:space="preserve">mirror </w:t>
      </w:r>
      <w:r w:rsidR="00854C91" w:rsidRPr="00BC22F7">
        <w:rPr>
          <w:rFonts w:ascii="Tahoma" w:hAnsi="Tahoma" w:cs="Tahoma"/>
          <w:sz w:val="23"/>
          <w:szCs w:val="23"/>
        </w:rPr>
        <w:t xml:space="preserve">the demographic profile </w:t>
      </w:r>
      <w:r w:rsidR="00DE353E" w:rsidRPr="00BC22F7">
        <w:rPr>
          <w:rFonts w:ascii="Tahoma" w:hAnsi="Tahoma" w:cs="Tahoma"/>
          <w:sz w:val="23"/>
          <w:szCs w:val="23"/>
        </w:rPr>
        <w:t xml:space="preserve">of the </w:t>
      </w:r>
      <w:r w:rsidR="00C15364" w:rsidRPr="00BC22F7">
        <w:rPr>
          <w:rFonts w:ascii="Tahoma" w:hAnsi="Tahoma" w:cs="Tahoma"/>
          <w:sz w:val="23"/>
          <w:szCs w:val="23"/>
        </w:rPr>
        <w:t xml:space="preserve">citizens </w:t>
      </w:r>
      <w:r w:rsidR="00DE353E" w:rsidRPr="00BC22F7">
        <w:rPr>
          <w:rFonts w:ascii="Tahoma" w:hAnsi="Tahoma" w:cs="Tahoma"/>
          <w:sz w:val="23"/>
          <w:szCs w:val="23"/>
        </w:rPr>
        <w:t>they serve</w:t>
      </w:r>
      <w:r w:rsidR="006931E6" w:rsidRPr="00BC22F7">
        <w:rPr>
          <w:rFonts w:ascii="Tahoma" w:hAnsi="Tahoma" w:cs="Tahoma"/>
          <w:sz w:val="23"/>
          <w:szCs w:val="23"/>
        </w:rPr>
        <w:t xml:space="preserve">. This can </w:t>
      </w:r>
      <w:r w:rsidR="00AA5DF6" w:rsidRPr="00BC22F7">
        <w:rPr>
          <w:rFonts w:ascii="Tahoma" w:hAnsi="Tahoma" w:cs="Tahoma"/>
          <w:sz w:val="23"/>
          <w:szCs w:val="23"/>
        </w:rPr>
        <w:t>in turn,</w:t>
      </w:r>
      <w:r w:rsidR="00854C91" w:rsidRPr="00BC22F7">
        <w:rPr>
          <w:rFonts w:ascii="Tahoma" w:hAnsi="Tahoma" w:cs="Tahoma"/>
          <w:sz w:val="23"/>
          <w:szCs w:val="23"/>
        </w:rPr>
        <w:t xml:space="preserve"> lead to</w:t>
      </w:r>
      <w:r w:rsidR="00854C91" w:rsidRPr="00BC22F7">
        <w:rPr>
          <w:rFonts w:ascii="Tahoma" w:hAnsi="Tahoma" w:cs="Tahoma"/>
          <w:i/>
          <w:sz w:val="23"/>
          <w:szCs w:val="23"/>
        </w:rPr>
        <w:t xml:space="preserve"> active </w:t>
      </w:r>
      <w:r w:rsidR="00854C91" w:rsidRPr="00BC22F7">
        <w:rPr>
          <w:rFonts w:ascii="Tahoma" w:hAnsi="Tahoma" w:cs="Tahoma"/>
          <w:sz w:val="23"/>
          <w:szCs w:val="23"/>
        </w:rPr>
        <w:t xml:space="preserve">representation, </w:t>
      </w:r>
      <w:r w:rsidR="006931E6" w:rsidRPr="00BC22F7">
        <w:rPr>
          <w:rFonts w:ascii="Tahoma" w:hAnsi="Tahoma" w:cs="Tahoma"/>
          <w:sz w:val="23"/>
          <w:szCs w:val="23"/>
        </w:rPr>
        <w:t>which exists when</w:t>
      </w:r>
      <w:r w:rsidR="00E304F4" w:rsidRPr="00BC22F7">
        <w:rPr>
          <w:rFonts w:ascii="Tahoma" w:hAnsi="Tahoma" w:cs="Tahoma"/>
          <w:sz w:val="23"/>
          <w:szCs w:val="23"/>
        </w:rPr>
        <w:t xml:space="preserve"> </w:t>
      </w:r>
      <w:r w:rsidR="00854C91" w:rsidRPr="00BC22F7">
        <w:rPr>
          <w:rFonts w:ascii="Tahoma" w:hAnsi="Tahoma" w:cs="Tahoma"/>
          <w:sz w:val="23"/>
          <w:szCs w:val="23"/>
        </w:rPr>
        <w:t xml:space="preserve">bureaucrats </w:t>
      </w:r>
      <w:r w:rsidR="006931E6" w:rsidRPr="00BC22F7">
        <w:rPr>
          <w:rFonts w:ascii="Tahoma" w:hAnsi="Tahoma" w:cs="Tahoma"/>
          <w:sz w:val="23"/>
          <w:szCs w:val="23"/>
        </w:rPr>
        <w:t xml:space="preserve">in fact </w:t>
      </w:r>
      <w:r w:rsidR="00C15364" w:rsidRPr="00BC22F7">
        <w:rPr>
          <w:rFonts w:ascii="Tahoma" w:hAnsi="Tahoma" w:cs="Tahoma"/>
          <w:sz w:val="23"/>
          <w:szCs w:val="23"/>
        </w:rPr>
        <w:t xml:space="preserve">formulate </w:t>
      </w:r>
      <w:r w:rsidR="00C15364" w:rsidRPr="00BC22F7">
        <w:rPr>
          <w:rFonts w:ascii="Tahoma" w:hAnsi="Tahoma" w:cs="Tahoma"/>
          <w:sz w:val="23"/>
          <w:szCs w:val="23"/>
        </w:rPr>
        <w:lastRenderedPageBreak/>
        <w:t xml:space="preserve">policies that </w:t>
      </w:r>
      <w:r w:rsidR="00AA5DF6" w:rsidRPr="00BC22F7">
        <w:rPr>
          <w:rFonts w:ascii="Tahoma" w:hAnsi="Tahoma" w:cs="Tahoma"/>
          <w:sz w:val="23"/>
          <w:szCs w:val="23"/>
        </w:rPr>
        <w:t>directly</w:t>
      </w:r>
      <w:r w:rsidR="00C15364" w:rsidRPr="00BC22F7">
        <w:rPr>
          <w:rFonts w:ascii="Tahoma" w:hAnsi="Tahoma" w:cs="Tahoma"/>
          <w:sz w:val="23"/>
          <w:szCs w:val="23"/>
        </w:rPr>
        <w:t xml:space="preserve"> benefit the diverse groups </w:t>
      </w:r>
      <w:r w:rsidR="00AA5DF6" w:rsidRPr="00BC22F7">
        <w:rPr>
          <w:rFonts w:ascii="Tahoma" w:hAnsi="Tahoma" w:cs="Tahoma"/>
          <w:sz w:val="23"/>
          <w:szCs w:val="23"/>
        </w:rPr>
        <w:t xml:space="preserve">that </w:t>
      </w:r>
      <w:r w:rsidR="00DE353E" w:rsidRPr="00BC22F7">
        <w:rPr>
          <w:rFonts w:ascii="Tahoma" w:hAnsi="Tahoma" w:cs="Tahoma"/>
          <w:sz w:val="23"/>
          <w:szCs w:val="23"/>
        </w:rPr>
        <w:t>they represent</w:t>
      </w:r>
      <w:r w:rsidR="00854C91" w:rsidRPr="00BC22F7">
        <w:rPr>
          <w:rFonts w:ascii="Tahoma" w:hAnsi="Tahoma" w:cs="Tahoma"/>
          <w:sz w:val="23"/>
          <w:szCs w:val="23"/>
        </w:rPr>
        <w:t>.</w:t>
      </w:r>
      <w:r w:rsidR="00D57E4D" w:rsidRPr="00BC22F7">
        <w:rPr>
          <w:rFonts w:ascii="Tahoma" w:hAnsi="Tahoma" w:cs="Tahoma"/>
          <w:sz w:val="23"/>
          <w:szCs w:val="23"/>
        </w:rPr>
        <w:t xml:space="preserve"> </w:t>
      </w:r>
      <w:r w:rsidR="00AA5DF6" w:rsidRPr="00BC22F7">
        <w:rPr>
          <w:rFonts w:ascii="Tahoma" w:hAnsi="Tahoma" w:cs="Tahoma"/>
          <w:sz w:val="23"/>
          <w:szCs w:val="23"/>
        </w:rPr>
        <w:t>While</w:t>
      </w:r>
      <w:r w:rsidR="006931E6" w:rsidRPr="00BC22F7">
        <w:rPr>
          <w:rFonts w:ascii="Tahoma" w:hAnsi="Tahoma" w:cs="Tahoma"/>
          <w:sz w:val="23"/>
          <w:szCs w:val="23"/>
        </w:rPr>
        <w:t xml:space="preserve"> </w:t>
      </w:r>
      <w:r w:rsidR="00AA5DF6" w:rsidRPr="00BC22F7">
        <w:rPr>
          <w:rFonts w:ascii="Tahoma" w:hAnsi="Tahoma" w:cs="Tahoma"/>
          <w:sz w:val="23"/>
          <w:szCs w:val="23"/>
        </w:rPr>
        <w:t xml:space="preserve">studies on the direct and indirect outcomes of representative bureaucracy across gender, race, and sexual orientation are much more established in the US (Bradbury &amp; </w:t>
      </w:r>
      <w:proofErr w:type="spellStart"/>
      <w:r w:rsidR="00AA5DF6" w:rsidRPr="00BC22F7">
        <w:rPr>
          <w:rFonts w:ascii="Tahoma" w:hAnsi="Tahoma" w:cs="Tahoma"/>
          <w:sz w:val="23"/>
          <w:szCs w:val="23"/>
        </w:rPr>
        <w:t>Kellough</w:t>
      </w:r>
      <w:proofErr w:type="spellEnd"/>
      <w:r w:rsidR="00AA5DF6" w:rsidRPr="00BC22F7">
        <w:rPr>
          <w:rFonts w:ascii="Tahoma" w:hAnsi="Tahoma" w:cs="Tahoma"/>
          <w:sz w:val="23"/>
          <w:szCs w:val="23"/>
        </w:rPr>
        <w:t xml:space="preserve">, 2011; </w:t>
      </w:r>
      <w:proofErr w:type="spellStart"/>
      <w:r w:rsidR="00AA5DF6" w:rsidRPr="00BC22F7">
        <w:rPr>
          <w:rFonts w:ascii="Tahoma" w:hAnsi="Tahoma" w:cs="Tahoma"/>
          <w:sz w:val="23"/>
          <w:szCs w:val="23"/>
        </w:rPr>
        <w:t>Roch</w:t>
      </w:r>
      <w:proofErr w:type="spellEnd"/>
      <w:r w:rsidR="00AA5DF6" w:rsidRPr="00BC22F7">
        <w:rPr>
          <w:rFonts w:ascii="Tahoma" w:hAnsi="Tahoma" w:cs="Tahoma"/>
          <w:sz w:val="23"/>
          <w:szCs w:val="23"/>
        </w:rPr>
        <w:t xml:space="preserve">, Pitts, &amp; Navarro, 2010; </w:t>
      </w:r>
      <w:proofErr w:type="spellStart"/>
      <w:r w:rsidR="00AA5DF6" w:rsidRPr="00BC22F7">
        <w:rPr>
          <w:rFonts w:ascii="Tahoma" w:hAnsi="Tahoma" w:cs="Tahoma"/>
          <w:sz w:val="23"/>
          <w:szCs w:val="23"/>
        </w:rPr>
        <w:t>Thielemann</w:t>
      </w:r>
      <w:proofErr w:type="spellEnd"/>
      <w:r w:rsidR="00AA5DF6" w:rsidRPr="00BC22F7">
        <w:rPr>
          <w:rFonts w:ascii="Tahoma" w:hAnsi="Tahoma" w:cs="Tahoma"/>
          <w:sz w:val="23"/>
          <w:szCs w:val="23"/>
        </w:rPr>
        <w:t xml:space="preserve"> &amp; Stewart 1996), there has been some initial work examining the effects of representative bureaucracy in other countries (</w:t>
      </w:r>
      <w:r w:rsidR="00D81F6A" w:rsidRPr="00BC22F7">
        <w:rPr>
          <w:rFonts w:ascii="Tahoma" w:hAnsi="Tahoma" w:cs="Tahoma"/>
          <w:sz w:val="23"/>
          <w:szCs w:val="23"/>
        </w:rPr>
        <w:t xml:space="preserve">Miller, 2012; </w:t>
      </w:r>
      <w:proofErr w:type="spellStart"/>
      <w:r w:rsidR="00D81F6A" w:rsidRPr="00BC22F7">
        <w:rPr>
          <w:rFonts w:ascii="Tahoma" w:hAnsi="Tahoma" w:cs="Tahoma"/>
          <w:sz w:val="23"/>
          <w:szCs w:val="23"/>
        </w:rPr>
        <w:t>Ncholo</w:t>
      </w:r>
      <w:proofErr w:type="spellEnd"/>
      <w:r w:rsidR="00D81F6A" w:rsidRPr="00BC22F7">
        <w:rPr>
          <w:rFonts w:ascii="Tahoma" w:hAnsi="Tahoma" w:cs="Tahoma"/>
          <w:sz w:val="23"/>
          <w:szCs w:val="23"/>
        </w:rPr>
        <w:t>, 2000</w:t>
      </w:r>
      <w:r w:rsidR="00AA5DF6" w:rsidRPr="00BC22F7">
        <w:rPr>
          <w:rFonts w:ascii="Tahoma" w:hAnsi="Tahoma" w:cs="Tahoma"/>
          <w:sz w:val="23"/>
          <w:szCs w:val="23"/>
        </w:rPr>
        <w:t xml:space="preserve">). </w:t>
      </w:r>
      <w:r w:rsidR="006931E6" w:rsidRPr="00BC22F7">
        <w:rPr>
          <w:rFonts w:ascii="Tahoma" w:hAnsi="Tahoma" w:cs="Tahoma"/>
          <w:sz w:val="23"/>
          <w:szCs w:val="23"/>
        </w:rPr>
        <w:t xml:space="preserve">In Canada, </w:t>
      </w:r>
      <w:proofErr w:type="spellStart"/>
      <w:r w:rsidR="00D57E4D" w:rsidRPr="00BC22F7">
        <w:rPr>
          <w:rFonts w:ascii="Tahoma" w:hAnsi="Tahoma" w:cs="Tahoma"/>
          <w:sz w:val="23"/>
          <w:szCs w:val="23"/>
        </w:rPr>
        <w:t>Ogmundson</w:t>
      </w:r>
      <w:proofErr w:type="spellEnd"/>
      <w:r w:rsidR="00D57E4D" w:rsidRPr="00BC22F7">
        <w:rPr>
          <w:rFonts w:ascii="Tahoma" w:hAnsi="Tahoma" w:cs="Tahoma"/>
          <w:sz w:val="23"/>
          <w:szCs w:val="23"/>
        </w:rPr>
        <w:t xml:space="preserve"> (2005)</w:t>
      </w:r>
      <w:r w:rsidR="00AA5DF6" w:rsidRPr="00BC22F7">
        <w:rPr>
          <w:rFonts w:ascii="Tahoma" w:hAnsi="Tahoma" w:cs="Tahoma"/>
          <w:sz w:val="23"/>
          <w:szCs w:val="23"/>
        </w:rPr>
        <w:t xml:space="preserve"> </w:t>
      </w:r>
      <w:r w:rsidR="00162978" w:rsidRPr="00BC22F7">
        <w:rPr>
          <w:rFonts w:ascii="Tahoma" w:hAnsi="Tahoma" w:cs="Tahoma"/>
          <w:sz w:val="23"/>
          <w:szCs w:val="23"/>
        </w:rPr>
        <w:t>review</w:t>
      </w:r>
      <w:r w:rsidR="006931E6" w:rsidRPr="00BC22F7">
        <w:rPr>
          <w:rFonts w:ascii="Tahoma" w:hAnsi="Tahoma" w:cs="Tahoma"/>
          <w:sz w:val="23"/>
          <w:szCs w:val="23"/>
        </w:rPr>
        <w:t>ed</w:t>
      </w:r>
      <w:r w:rsidR="00162978" w:rsidRPr="00BC22F7">
        <w:rPr>
          <w:rFonts w:ascii="Tahoma" w:hAnsi="Tahoma" w:cs="Tahoma"/>
          <w:sz w:val="23"/>
          <w:szCs w:val="23"/>
        </w:rPr>
        <w:t xml:space="preserve"> the effects of representative bureaucracy and how the presence of women in government </w:t>
      </w:r>
      <w:r w:rsidR="0042190D" w:rsidRPr="00BC22F7">
        <w:rPr>
          <w:rFonts w:ascii="Tahoma" w:hAnsi="Tahoma" w:cs="Tahoma"/>
          <w:sz w:val="23"/>
          <w:szCs w:val="23"/>
        </w:rPr>
        <w:t>can lead to</w:t>
      </w:r>
      <w:r w:rsidR="00162978" w:rsidRPr="00BC22F7">
        <w:rPr>
          <w:rFonts w:ascii="Tahoma" w:hAnsi="Tahoma" w:cs="Tahoma"/>
          <w:sz w:val="23"/>
          <w:szCs w:val="23"/>
        </w:rPr>
        <w:t xml:space="preserve"> </w:t>
      </w:r>
      <w:r w:rsidR="00AA5DF6" w:rsidRPr="00BC22F7">
        <w:rPr>
          <w:rFonts w:ascii="Tahoma" w:hAnsi="Tahoma" w:cs="Tahoma"/>
          <w:sz w:val="23"/>
          <w:szCs w:val="23"/>
        </w:rPr>
        <w:t xml:space="preserve">a </w:t>
      </w:r>
      <w:r w:rsidR="00162978" w:rsidRPr="00BC22F7">
        <w:rPr>
          <w:rFonts w:ascii="Tahoma" w:hAnsi="Tahoma" w:cs="Tahoma"/>
          <w:sz w:val="23"/>
          <w:szCs w:val="23"/>
        </w:rPr>
        <w:t>greater concern for women</w:t>
      </w:r>
      <w:r w:rsidR="00AA5DF6" w:rsidRPr="00BC22F7">
        <w:rPr>
          <w:rFonts w:ascii="Tahoma" w:hAnsi="Tahoma" w:cs="Tahoma"/>
          <w:sz w:val="23"/>
          <w:szCs w:val="23"/>
        </w:rPr>
        <w:t>’s</w:t>
      </w:r>
      <w:r w:rsidR="00162978" w:rsidRPr="00BC22F7">
        <w:rPr>
          <w:rFonts w:ascii="Tahoma" w:hAnsi="Tahoma" w:cs="Tahoma"/>
          <w:sz w:val="23"/>
          <w:szCs w:val="23"/>
        </w:rPr>
        <w:t xml:space="preserve"> issues (e.g., jobs, child support, domestic abuse)</w:t>
      </w:r>
      <w:r w:rsidR="0042190D" w:rsidRPr="00BC22F7">
        <w:rPr>
          <w:rFonts w:ascii="Tahoma" w:hAnsi="Tahoma" w:cs="Tahoma"/>
          <w:sz w:val="23"/>
          <w:szCs w:val="23"/>
        </w:rPr>
        <w:t xml:space="preserve"> and even the appointment of women to higher-level positions (e.g., as female judges)</w:t>
      </w:r>
      <w:r w:rsidR="00162978" w:rsidRPr="00BC22F7">
        <w:rPr>
          <w:rFonts w:ascii="Tahoma" w:hAnsi="Tahoma" w:cs="Tahoma"/>
          <w:sz w:val="23"/>
          <w:szCs w:val="23"/>
        </w:rPr>
        <w:t>.</w:t>
      </w:r>
      <w:r w:rsidR="0042190D" w:rsidRPr="00BC22F7">
        <w:rPr>
          <w:rFonts w:ascii="Tahoma" w:hAnsi="Tahoma" w:cs="Tahoma"/>
          <w:sz w:val="23"/>
          <w:szCs w:val="23"/>
        </w:rPr>
        <w:t xml:space="preserve"> </w:t>
      </w:r>
      <w:r w:rsidR="00AA5DF6" w:rsidRPr="00BC22F7">
        <w:rPr>
          <w:rFonts w:ascii="Tahoma" w:hAnsi="Tahoma" w:cs="Tahoma"/>
          <w:sz w:val="23"/>
          <w:szCs w:val="23"/>
        </w:rPr>
        <w:t>Similarly,</w:t>
      </w:r>
      <w:r w:rsidR="0042190D" w:rsidRPr="00BC22F7">
        <w:rPr>
          <w:rFonts w:ascii="Tahoma" w:hAnsi="Tahoma" w:cs="Tahoma"/>
          <w:sz w:val="23"/>
          <w:szCs w:val="23"/>
        </w:rPr>
        <w:t xml:space="preserve"> </w:t>
      </w:r>
      <w:r w:rsidR="00A20A64" w:rsidRPr="00BC22F7">
        <w:rPr>
          <w:rFonts w:ascii="Tahoma" w:hAnsi="Tahoma" w:cs="Tahoma"/>
          <w:sz w:val="23"/>
          <w:szCs w:val="23"/>
        </w:rPr>
        <w:t>Bouchard and Carroll (</w:t>
      </w:r>
      <w:r w:rsidR="0042190D" w:rsidRPr="00BC22F7">
        <w:rPr>
          <w:rFonts w:ascii="Tahoma" w:hAnsi="Tahoma" w:cs="Tahoma"/>
          <w:sz w:val="23"/>
          <w:szCs w:val="23"/>
        </w:rPr>
        <w:t>200</w:t>
      </w:r>
      <w:r w:rsidR="00A20A64" w:rsidRPr="00BC22F7">
        <w:rPr>
          <w:rFonts w:ascii="Tahoma" w:hAnsi="Tahoma" w:cs="Tahoma"/>
          <w:sz w:val="23"/>
          <w:szCs w:val="23"/>
        </w:rPr>
        <w:t>2</w:t>
      </w:r>
      <w:r w:rsidR="0042190D" w:rsidRPr="00BC22F7">
        <w:rPr>
          <w:rFonts w:ascii="Tahoma" w:hAnsi="Tahoma" w:cs="Tahoma"/>
          <w:sz w:val="23"/>
          <w:szCs w:val="23"/>
        </w:rPr>
        <w:t>) argue that</w:t>
      </w:r>
      <w:r w:rsidR="00AA5DF6" w:rsidRPr="00BC22F7">
        <w:rPr>
          <w:rFonts w:ascii="Tahoma" w:hAnsi="Tahoma" w:cs="Tahoma"/>
          <w:sz w:val="23"/>
          <w:szCs w:val="23"/>
        </w:rPr>
        <w:t xml:space="preserve"> </w:t>
      </w:r>
      <w:r w:rsidR="00162978" w:rsidRPr="00BC22F7">
        <w:rPr>
          <w:rFonts w:ascii="Tahoma" w:hAnsi="Tahoma" w:cs="Tahoma"/>
          <w:sz w:val="23"/>
          <w:szCs w:val="23"/>
        </w:rPr>
        <w:t xml:space="preserve">visible minorities </w:t>
      </w:r>
      <w:r w:rsidR="0042190D" w:rsidRPr="00BC22F7">
        <w:rPr>
          <w:rFonts w:ascii="Tahoma" w:hAnsi="Tahoma" w:cs="Tahoma"/>
          <w:sz w:val="23"/>
          <w:szCs w:val="23"/>
        </w:rPr>
        <w:t xml:space="preserve">may </w:t>
      </w:r>
      <w:r w:rsidR="00162978" w:rsidRPr="00BC22F7">
        <w:rPr>
          <w:rFonts w:ascii="Tahoma" w:hAnsi="Tahoma" w:cs="Tahoma"/>
          <w:sz w:val="23"/>
          <w:szCs w:val="23"/>
        </w:rPr>
        <w:t xml:space="preserve">accrue </w:t>
      </w:r>
      <w:r w:rsidR="00AA5DF6" w:rsidRPr="00BC22F7">
        <w:rPr>
          <w:rFonts w:ascii="Tahoma" w:hAnsi="Tahoma" w:cs="Tahoma"/>
          <w:sz w:val="23"/>
          <w:szCs w:val="23"/>
        </w:rPr>
        <w:t>several benefits (</w:t>
      </w:r>
      <w:r w:rsidR="00771FE6" w:rsidRPr="00BC22F7">
        <w:rPr>
          <w:rFonts w:ascii="Tahoma" w:hAnsi="Tahoma" w:cs="Tahoma"/>
          <w:sz w:val="23"/>
          <w:szCs w:val="23"/>
        </w:rPr>
        <w:t>e.g., changes in immigration admissions</w:t>
      </w:r>
      <w:r w:rsidR="00A1007C" w:rsidRPr="00BC22F7">
        <w:rPr>
          <w:rFonts w:ascii="Tahoma" w:hAnsi="Tahoma" w:cs="Tahoma"/>
          <w:sz w:val="23"/>
          <w:szCs w:val="23"/>
        </w:rPr>
        <w:t xml:space="preserve">) </w:t>
      </w:r>
      <w:r w:rsidR="00162978" w:rsidRPr="00BC22F7">
        <w:rPr>
          <w:rFonts w:ascii="Tahoma" w:hAnsi="Tahoma" w:cs="Tahoma"/>
          <w:sz w:val="23"/>
          <w:szCs w:val="23"/>
        </w:rPr>
        <w:t xml:space="preserve">when there is a </w:t>
      </w:r>
      <w:r w:rsidR="0042190D" w:rsidRPr="00BC22F7">
        <w:rPr>
          <w:rFonts w:ascii="Tahoma" w:hAnsi="Tahoma" w:cs="Tahoma"/>
          <w:sz w:val="23"/>
          <w:szCs w:val="23"/>
        </w:rPr>
        <w:t xml:space="preserve">stronger </w:t>
      </w:r>
      <w:r w:rsidR="00162978" w:rsidRPr="00BC22F7">
        <w:rPr>
          <w:rFonts w:ascii="Tahoma" w:hAnsi="Tahoma" w:cs="Tahoma"/>
          <w:sz w:val="23"/>
          <w:szCs w:val="23"/>
        </w:rPr>
        <w:t xml:space="preserve">presence of </w:t>
      </w:r>
      <w:r w:rsidR="0042190D" w:rsidRPr="00BC22F7">
        <w:rPr>
          <w:rFonts w:ascii="Tahoma" w:hAnsi="Tahoma" w:cs="Tahoma"/>
          <w:sz w:val="23"/>
          <w:szCs w:val="23"/>
        </w:rPr>
        <w:t>visible minorities</w:t>
      </w:r>
      <w:r w:rsidR="00162978" w:rsidRPr="00BC22F7">
        <w:rPr>
          <w:rFonts w:ascii="Tahoma" w:hAnsi="Tahoma" w:cs="Tahoma"/>
          <w:sz w:val="23"/>
          <w:szCs w:val="23"/>
        </w:rPr>
        <w:t xml:space="preserve"> in </w:t>
      </w:r>
      <w:r w:rsidR="00AA5DF6" w:rsidRPr="00BC22F7">
        <w:rPr>
          <w:rFonts w:ascii="Tahoma" w:hAnsi="Tahoma" w:cs="Tahoma"/>
          <w:sz w:val="23"/>
          <w:szCs w:val="23"/>
        </w:rPr>
        <w:t xml:space="preserve">the </w:t>
      </w:r>
      <w:r w:rsidR="00162978" w:rsidRPr="00BC22F7">
        <w:rPr>
          <w:rFonts w:ascii="Tahoma" w:hAnsi="Tahoma" w:cs="Tahoma"/>
          <w:sz w:val="23"/>
          <w:szCs w:val="23"/>
        </w:rPr>
        <w:t xml:space="preserve">government. </w:t>
      </w:r>
      <w:r w:rsidR="00FA44BC" w:rsidRPr="00BC22F7">
        <w:rPr>
          <w:rFonts w:ascii="Tahoma" w:hAnsi="Tahoma" w:cs="Tahoma"/>
          <w:sz w:val="23"/>
          <w:szCs w:val="23"/>
        </w:rPr>
        <w:t>R</w:t>
      </w:r>
      <w:r w:rsidR="006C45A7" w:rsidRPr="00BC22F7">
        <w:rPr>
          <w:rFonts w:ascii="Tahoma" w:hAnsi="Tahoma" w:cs="Tahoma"/>
          <w:sz w:val="23"/>
          <w:szCs w:val="23"/>
        </w:rPr>
        <w:t>epresentative bureaucracy is particularly important for Canada, since it is the first country in the world to espouse an official m</w:t>
      </w:r>
      <w:r w:rsidR="00DD5848" w:rsidRPr="00BC22F7">
        <w:rPr>
          <w:rFonts w:ascii="Tahoma" w:hAnsi="Tahoma" w:cs="Tahoma"/>
          <w:sz w:val="23"/>
          <w:szCs w:val="23"/>
        </w:rPr>
        <w:t>ulticulturalism</w:t>
      </w:r>
      <w:r w:rsidR="004B7BE7" w:rsidRPr="00BC22F7">
        <w:rPr>
          <w:rFonts w:ascii="Tahoma" w:hAnsi="Tahoma" w:cs="Tahoma"/>
          <w:sz w:val="23"/>
          <w:szCs w:val="23"/>
        </w:rPr>
        <w:t xml:space="preserve"> policy</w:t>
      </w:r>
      <w:r w:rsidR="006C45A7" w:rsidRPr="00BC22F7">
        <w:rPr>
          <w:rFonts w:ascii="Tahoma" w:hAnsi="Tahoma" w:cs="Tahoma"/>
          <w:sz w:val="23"/>
          <w:szCs w:val="23"/>
        </w:rPr>
        <w:t>.</w:t>
      </w:r>
      <w:r w:rsidR="00FA44BC" w:rsidRPr="00BC22F7">
        <w:rPr>
          <w:rFonts w:ascii="Tahoma" w:hAnsi="Tahoma" w:cs="Tahoma"/>
          <w:sz w:val="23"/>
          <w:szCs w:val="23"/>
        </w:rPr>
        <w:t xml:space="preserve"> The Multiculturalism Act, passed in 1988, is a policy of inclusion and a means by which the federal government reaffirms multiculturalism as a fundamental value of Canadian society and of the Government of Canada. A</w:t>
      </w:r>
      <w:r w:rsidR="004B7BE7" w:rsidRPr="00BC22F7">
        <w:rPr>
          <w:rFonts w:ascii="Tahoma" w:hAnsi="Tahoma" w:cs="Tahoma"/>
          <w:sz w:val="23"/>
          <w:szCs w:val="23"/>
        </w:rPr>
        <w:t>s such, a</w:t>
      </w:r>
      <w:r w:rsidR="00FA44BC" w:rsidRPr="00BC22F7">
        <w:rPr>
          <w:rFonts w:ascii="Tahoma" w:hAnsi="Tahoma" w:cs="Tahoma"/>
          <w:sz w:val="23"/>
          <w:szCs w:val="23"/>
        </w:rPr>
        <w:t xml:space="preserve">ll federal institutions must take multiculturalism into account in all their activities, </w:t>
      </w:r>
      <w:r w:rsidR="00255DC0" w:rsidRPr="00BC22F7">
        <w:rPr>
          <w:rFonts w:ascii="Tahoma" w:hAnsi="Tahoma" w:cs="Tahoma"/>
          <w:sz w:val="23"/>
          <w:szCs w:val="23"/>
        </w:rPr>
        <w:t>and</w:t>
      </w:r>
      <w:r w:rsidR="00FA44BC" w:rsidRPr="00BC22F7">
        <w:rPr>
          <w:rFonts w:ascii="Tahoma" w:hAnsi="Tahoma" w:cs="Tahoma"/>
          <w:sz w:val="23"/>
          <w:szCs w:val="23"/>
        </w:rPr>
        <w:t xml:space="preserve"> is held accountable for ensuring that they ‘carry on their activities in a manner that is sensitive and responsive to the multicultural reality of Canada’ (</w:t>
      </w:r>
      <w:r w:rsidR="004A265D" w:rsidRPr="00BC22F7">
        <w:rPr>
          <w:rFonts w:ascii="Tahoma" w:hAnsi="Tahoma" w:cs="Tahoma"/>
          <w:sz w:val="23"/>
          <w:szCs w:val="23"/>
        </w:rPr>
        <w:t>cf. Haq &amp; Ng, 2010</w:t>
      </w:r>
      <w:r w:rsidR="00FA44BC" w:rsidRPr="00BC22F7">
        <w:rPr>
          <w:rFonts w:ascii="Tahoma" w:hAnsi="Tahoma" w:cs="Tahoma"/>
          <w:sz w:val="23"/>
          <w:szCs w:val="23"/>
        </w:rPr>
        <w:t>).</w:t>
      </w:r>
      <w:r w:rsidR="00255DC0" w:rsidRPr="00BC22F7">
        <w:rPr>
          <w:rFonts w:ascii="Tahoma" w:hAnsi="Tahoma" w:cs="Tahoma"/>
          <w:sz w:val="23"/>
          <w:szCs w:val="23"/>
        </w:rPr>
        <w:t xml:space="preserve"> </w:t>
      </w:r>
      <w:r w:rsidR="004A265D" w:rsidRPr="00BC22F7">
        <w:rPr>
          <w:rFonts w:ascii="Tahoma" w:hAnsi="Tahoma" w:cs="Tahoma"/>
          <w:sz w:val="23"/>
          <w:szCs w:val="23"/>
        </w:rPr>
        <w:t>Consistent with this</w:t>
      </w:r>
      <w:r w:rsidR="00AA5DF6" w:rsidRPr="00BC22F7">
        <w:rPr>
          <w:rFonts w:ascii="Tahoma" w:hAnsi="Tahoma" w:cs="Tahoma"/>
          <w:sz w:val="23"/>
          <w:szCs w:val="23"/>
        </w:rPr>
        <w:t xml:space="preserve"> objective</w:t>
      </w:r>
      <w:r w:rsidR="004A265D" w:rsidRPr="00BC22F7">
        <w:rPr>
          <w:rFonts w:ascii="Tahoma" w:hAnsi="Tahoma" w:cs="Tahoma"/>
          <w:sz w:val="23"/>
          <w:szCs w:val="23"/>
        </w:rPr>
        <w:t xml:space="preserve">, </w:t>
      </w:r>
      <w:r w:rsidR="005601B9" w:rsidRPr="00BC22F7">
        <w:rPr>
          <w:rFonts w:ascii="Tahoma" w:hAnsi="Tahoma" w:cs="Tahoma"/>
          <w:sz w:val="23"/>
          <w:szCs w:val="23"/>
        </w:rPr>
        <w:t>the Canadian government has put in place an employment equity policy aimed at ensuring that its public service is representative of the Canadian population (</w:t>
      </w:r>
      <w:proofErr w:type="spellStart"/>
      <w:r w:rsidR="005601B9" w:rsidRPr="00BC22F7">
        <w:rPr>
          <w:rFonts w:ascii="Tahoma" w:hAnsi="Tahoma" w:cs="Tahoma"/>
          <w:sz w:val="23"/>
          <w:szCs w:val="23"/>
        </w:rPr>
        <w:t>Agocs</w:t>
      </w:r>
      <w:proofErr w:type="spellEnd"/>
      <w:r w:rsidR="005601B9" w:rsidRPr="00BC22F7">
        <w:rPr>
          <w:rFonts w:ascii="Tahoma" w:hAnsi="Tahoma" w:cs="Tahoma"/>
          <w:sz w:val="23"/>
          <w:szCs w:val="23"/>
        </w:rPr>
        <w:t>, 2012</w:t>
      </w:r>
      <w:r w:rsidR="00A20A64" w:rsidRPr="00BC22F7">
        <w:rPr>
          <w:rFonts w:ascii="Tahoma" w:hAnsi="Tahoma" w:cs="Tahoma"/>
          <w:sz w:val="23"/>
          <w:szCs w:val="23"/>
        </w:rPr>
        <w:t>; Winn 1985</w:t>
      </w:r>
      <w:r w:rsidR="005601B9" w:rsidRPr="00BC22F7">
        <w:rPr>
          <w:rFonts w:ascii="Tahoma" w:hAnsi="Tahoma" w:cs="Tahoma"/>
          <w:sz w:val="23"/>
          <w:szCs w:val="23"/>
        </w:rPr>
        <w:t xml:space="preserve">).  </w:t>
      </w:r>
    </w:p>
    <w:p w:rsidR="004B7BE7" w:rsidRPr="00BC22F7" w:rsidRDefault="004B7BE7" w:rsidP="008A026D">
      <w:pPr>
        <w:spacing w:after="0" w:line="240" w:lineRule="auto"/>
        <w:rPr>
          <w:rFonts w:ascii="Tahoma" w:hAnsi="Tahoma" w:cs="Tahoma"/>
          <w:sz w:val="23"/>
          <w:szCs w:val="23"/>
        </w:rPr>
      </w:pPr>
    </w:p>
    <w:p w:rsidR="00A1007C" w:rsidRPr="00BC22F7" w:rsidRDefault="00A1007C" w:rsidP="00A1007C">
      <w:pPr>
        <w:spacing w:after="0" w:line="240" w:lineRule="auto"/>
        <w:rPr>
          <w:rFonts w:ascii="Tahoma" w:hAnsi="Tahoma" w:cs="Tahoma"/>
          <w:b/>
          <w:sz w:val="23"/>
          <w:szCs w:val="23"/>
        </w:rPr>
      </w:pPr>
      <w:r w:rsidRPr="00BC22F7">
        <w:rPr>
          <w:rFonts w:ascii="Tahoma" w:hAnsi="Tahoma" w:cs="Tahoma"/>
          <w:b/>
          <w:sz w:val="23"/>
          <w:szCs w:val="23"/>
        </w:rPr>
        <w:t xml:space="preserve">Table 1: Employment Equity in Canada: Representation of Underrepresented </w:t>
      </w:r>
    </w:p>
    <w:p w:rsidR="00A1007C" w:rsidRPr="00BC22F7" w:rsidRDefault="00A1007C" w:rsidP="00A1007C">
      <w:pPr>
        <w:spacing w:after="0" w:line="240" w:lineRule="auto"/>
        <w:rPr>
          <w:rFonts w:ascii="Tahoma" w:hAnsi="Tahoma" w:cs="Tahoma"/>
          <w:b/>
          <w:sz w:val="23"/>
          <w:szCs w:val="23"/>
        </w:rPr>
      </w:pPr>
      <w:r w:rsidRPr="00BC22F7">
        <w:rPr>
          <w:rFonts w:ascii="Tahoma" w:hAnsi="Tahoma" w:cs="Tahoma"/>
          <w:b/>
          <w:sz w:val="23"/>
          <w:szCs w:val="23"/>
        </w:rPr>
        <w:t xml:space="preserve">               Groups (Source: Employment Equity Act: Annual Report 2010)</w:t>
      </w:r>
    </w:p>
    <w:p w:rsidR="00A1007C" w:rsidRPr="00BC22F7" w:rsidRDefault="00A1007C" w:rsidP="00A1007C">
      <w:pPr>
        <w:spacing w:after="0" w:line="240" w:lineRule="auto"/>
        <w:rPr>
          <w:rFonts w:ascii="Tahoma" w:hAnsi="Tahoma" w:cs="Tahoma"/>
          <w:sz w:val="23"/>
          <w:szCs w:val="23"/>
        </w:rPr>
      </w:pPr>
    </w:p>
    <w:tbl>
      <w:tblPr>
        <w:tblStyle w:val="TableGrid"/>
        <w:tblW w:w="0" w:type="auto"/>
        <w:tblLook w:val="04A0"/>
      </w:tblPr>
      <w:tblGrid>
        <w:gridCol w:w="1915"/>
        <w:gridCol w:w="1915"/>
        <w:gridCol w:w="1915"/>
        <w:gridCol w:w="1915"/>
        <w:gridCol w:w="1916"/>
      </w:tblGrid>
      <w:tr w:rsidR="00A1007C" w:rsidRPr="00BC22F7" w:rsidTr="00E76395">
        <w:tc>
          <w:tcPr>
            <w:tcW w:w="1915" w:type="dxa"/>
          </w:tcPr>
          <w:p w:rsidR="00A1007C" w:rsidRPr="00BC22F7" w:rsidRDefault="00A1007C" w:rsidP="00E76395">
            <w:pPr>
              <w:rPr>
                <w:rFonts w:ascii="Tahoma" w:hAnsi="Tahoma" w:cs="Tahoma"/>
                <w:b/>
                <w:sz w:val="23"/>
                <w:szCs w:val="23"/>
              </w:rPr>
            </w:pPr>
          </w:p>
        </w:tc>
        <w:tc>
          <w:tcPr>
            <w:tcW w:w="1915" w:type="dxa"/>
          </w:tcPr>
          <w:p w:rsidR="00A1007C" w:rsidRPr="00BC22F7" w:rsidRDefault="00A1007C" w:rsidP="00E76395">
            <w:pPr>
              <w:jc w:val="center"/>
              <w:rPr>
                <w:rFonts w:ascii="Tahoma" w:hAnsi="Tahoma" w:cs="Tahoma"/>
                <w:i/>
                <w:sz w:val="23"/>
                <w:szCs w:val="23"/>
              </w:rPr>
            </w:pPr>
            <w:r w:rsidRPr="00BC22F7">
              <w:rPr>
                <w:rFonts w:ascii="Tahoma" w:hAnsi="Tahoma" w:cs="Tahoma"/>
                <w:i/>
                <w:sz w:val="23"/>
                <w:szCs w:val="23"/>
              </w:rPr>
              <w:t>Aboriginal Peoples</w:t>
            </w:r>
          </w:p>
        </w:tc>
        <w:tc>
          <w:tcPr>
            <w:tcW w:w="1915" w:type="dxa"/>
          </w:tcPr>
          <w:p w:rsidR="00A1007C" w:rsidRPr="00BC22F7" w:rsidRDefault="00A1007C" w:rsidP="00E76395">
            <w:pPr>
              <w:jc w:val="center"/>
              <w:rPr>
                <w:rFonts w:ascii="Tahoma" w:hAnsi="Tahoma" w:cs="Tahoma"/>
                <w:i/>
                <w:sz w:val="23"/>
                <w:szCs w:val="23"/>
              </w:rPr>
            </w:pPr>
            <w:r w:rsidRPr="00BC22F7">
              <w:rPr>
                <w:rFonts w:ascii="Tahoma" w:hAnsi="Tahoma" w:cs="Tahoma"/>
                <w:i/>
                <w:sz w:val="23"/>
                <w:szCs w:val="23"/>
              </w:rPr>
              <w:t>Persons with disabilities</w:t>
            </w:r>
          </w:p>
        </w:tc>
        <w:tc>
          <w:tcPr>
            <w:tcW w:w="1915" w:type="dxa"/>
          </w:tcPr>
          <w:p w:rsidR="00A1007C" w:rsidRPr="00BC22F7" w:rsidRDefault="00A1007C" w:rsidP="00E76395">
            <w:pPr>
              <w:jc w:val="center"/>
              <w:rPr>
                <w:rFonts w:ascii="Tahoma" w:hAnsi="Tahoma" w:cs="Tahoma"/>
                <w:i/>
                <w:sz w:val="23"/>
                <w:szCs w:val="23"/>
              </w:rPr>
            </w:pPr>
            <w:r w:rsidRPr="00BC22F7">
              <w:rPr>
                <w:rFonts w:ascii="Tahoma" w:hAnsi="Tahoma" w:cs="Tahoma"/>
                <w:i/>
                <w:sz w:val="23"/>
                <w:szCs w:val="23"/>
              </w:rPr>
              <w:t xml:space="preserve">Visible </w:t>
            </w:r>
          </w:p>
          <w:p w:rsidR="00A1007C" w:rsidRPr="00BC22F7" w:rsidRDefault="00A1007C" w:rsidP="00E76395">
            <w:pPr>
              <w:jc w:val="center"/>
              <w:rPr>
                <w:rFonts w:ascii="Tahoma" w:hAnsi="Tahoma" w:cs="Tahoma"/>
                <w:i/>
                <w:sz w:val="23"/>
                <w:szCs w:val="23"/>
              </w:rPr>
            </w:pPr>
            <w:r w:rsidRPr="00BC22F7">
              <w:rPr>
                <w:rFonts w:ascii="Tahoma" w:hAnsi="Tahoma" w:cs="Tahoma"/>
                <w:i/>
                <w:sz w:val="23"/>
                <w:szCs w:val="23"/>
              </w:rPr>
              <w:t>Minorities</w:t>
            </w:r>
          </w:p>
        </w:tc>
        <w:tc>
          <w:tcPr>
            <w:tcW w:w="1916" w:type="dxa"/>
          </w:tcPr>
          <w:p w:rsidR="00A1007C" w:rsidRPr="00BC22F7" w:rsidRDefault="00A1007C" w:rsidP="00E76395">
            <w:pPr>
              <w:jc w:val="center"/>
              <w:rPr>
                <w:rFonts w:ascii="Tahoma" w:hAnsi="Tahoma" w:cs="Tahoma"/>
                <w:i/>
                <w:sz w:val="23"/>
                <w:szCs w:val="23"/>
              </w:rPr>
            </w:pPr>
          </w:p>
          <w:p w:rsidR="00A1007C" w:rsidRPr="00BC22F7" w:rsidRDefault="00A1007C" w:rsidP="00E76395">
            <w:pPr>
              <w:jc w:val="center"/>
              <w:rPr>
                <w:rFonts w:ascii="Tahoma" w:hAnsi="Tahoma" w:cs="Tahoma"/>
                <w:i/>
                <w:sz w:val="23"/>
                <w:szCs w:val="23"/>
              </w:rPr>
            </w:pPr>
            <w:r w:rsidRPr="00BC22F7">
              <w:rPr>
                <w:rFonts w:ascii="Tahoma" w:hAnsi="Tahoma" w:cs="Tahoma"/>
                <w:i/>
                <w:sz w:val="23"/>
                <w:szCs w:val="23"/>
              </w:rPr>
              <w:t>Women</w:t>
            </w:r>
          </w:p>
        </w:tc>
      </w:tr>
      <w:tr w:rsidR="00A1007C" w:rsidRPr="00BC22F7" w:rsidTr="00E76395">
        <w:tc>
          <w:tcPr>
            <w:tcW w:w="1915" w:type="dxa"/>
          </w:tcPr>
          <w:p w:rsidR="00A1007C" w:rsidRPr="00BC22F7" w:rsidRDefault="00A1007C" w:rsidP="00E76395">
            <w:pPr>
              <w:rPr>
                <w:rFonts w:ascii="Tahoma" w:hAnsi="Tahoma" w:cs="Tahoma"/>
                <w:sz w:val="23"/>
                <w:szCs w:val="23"/>
              </w:rPr>
            </w:pPr>
            <w:r w:rsidRPr="00BC22F7">
              <w:rPr>
                <w:rFonts w:ascii="Tahoma" w:hAnsi="Tahoma" w:cs="Tahoma"/>
                <w:sz w:val="23"/>
                <w:szCs w:val="23"/>
              </w:rPr>
              <w:t>Public Sector</w:t>
            </w:r>
          </w:p>
        </w:tc>
        <w:tc>
          <w:tcPr>
            <w:tcW w:w="1915" w:type="dxa"/>
          </w:tcPr>
          <w:p w:rsidR="00A1007C" w:rsidRPr="00BC22F7" w:rsidRDefault="00A1007C" w:rsidP="00E76395">
            <w:pPr>
              <w:jc w:val="center"/>
              <w:rPr>
                <w:rFonts w:ascii="Tahoma" w:hAnsi="Tahoma" w:cs="Tahoma"/>
                <w:sz w:val="23"/>
                <w:szCs w:val="23"/>
              </w:rPr>
            </w:pPr>
            <w:r w:rsidRPr="00BC22F7">
              <w:rPr>
                <w:rFonts w:ascii="Tahoma" w:hAnsi="Tahoma" w:cs="Tahoma"/>
                <w:sz w:val="23"/>
                <w:szCs w:val="23"/>
              </w:rPr>
              <w:t>3.9%</w:t>
            </w:r>
          </w:p>
        </w:tc>
        <w:tc>
          <w:tcPr>
            <w:tcW w:w="1915" w:type="dxa"/>
          </w:tcPr>
          <w:p w:rsidR="00A1007C" w:rsidRPr="00BC22F7" w:rsidRDefault="00A1007C" w:rsidP="00E76395">
            <w:pPr>
              <w:jc w:val="center"/>
              <w:rPr>
                <w:rFonts w:ascii="Tahoma" w:hAnsi="Tahoma" w:cs="Tahoma"/>
                <w:sz w:val="23"/>
                <w:szCs w:val="23"/>
              </w:rPr>
            </w:pPr>
            <w:r w:rsidRPr="00BC22F7">
              <w:rPr>
                <w:rFonts w:ascii="Tahoma" w:hAnsi="Tahoma" w:cs="Tahoma"/>
                <w:sz w:val="23"/>
                <w:szCs w:val="23"/>
              </w:rPr>
              <w:t>4.2%</w:t>
            </w:r>
          </w:p>
        </w:tc>
        <w:tc>
          <w:tcPr>
            <w:tcW w:w="1915" w:type="dxa"/>
          </w:tcPr>
          <w:p w:rsidR="00A1007C" w:rsidRPr="00BC22F7" w:rsidRDefault="00A1007C" w:rsidP="00E76395">
            <w:pPr>
              <w:jc w:val="center"/>
              <w:rPr>
                <w:rFonts w:ascii="Tahoma" w:hAnsi="Tahoma" w:cs="Tahoma"/>
                <w:sz w:val="23"/>
                <w:szCs w:val="23"/>
              </w:rPr>
            </w:pPr>
            <w:r w:rsidRPr="00BC22F7">
              <w:rPr>
                <w:rFonts w:ascii="Tahoma" w:hAnsi="Tahoma" w:cs="Tahoma"/>
                <w:sz w:val="23"/>
                <w:szCs w:val="23"/>
              </w:rPr>
              <w:t>8.7%</w:t>
            </w:r>
          </w:p>
        </w:tc>
        <w:tc>
          <w:tcPr>
            <w:tcW w:w="1916" w:type="dxa"/>
          </w:tcPr>
          <w:p w:rsidR="00A1007C" w:rsidRPr="00BC22F7" w:rsidRDefault="00A1007C" w:rsidP="00E76395">
            <w:pPr>
              <w:jc w:val="center"/>
              <w:rPr>
                <w:rFonts w:ascii="Tahoma" w:hAnsi="Tahoma" w:cs="Tahoma"/>
                <w:sz w:val="23"/>
                <w:szCs w:val="23"/>
              </w:rPr>
            </w:pPr>
            <w:r w:rsidRPr="00BC22F7">
              <w:rPr>
                <w:rFonts w:ascii="Tahoma" w:hAnsi="Tahoma" w:cs="Tahoma"/>
                <w:sz w:val="23"/>
                <w:szCs w:val="23"/>
              </w:rPr>
              <w:t>43.0%</w:t>
            </w:r>
          </w:p>
        </w:tc>
      </w:tr>
      <w:tr w:rsidR="00A1007C" w:rsidRPr="00BC22F7" w:rsidTr="00E76395">
        <w:tc>
          <w:tcPr>
            <w:tcW w:w="1915" w:type="dxa"/>
          </w:tcPr>
          <w:p w:rsidR="00A1007C" w:rsidRPr="00BC22F7" w:rsidRDefault="00A1007C" w:rsidP="00E76395">
            <w:pPr>
              <w:rPr>
                <w:rFonts w:ascii="Tahoma" w:hAnsi="Tahoma" w:cs="Tahoma"/>
                <w:sz w:val="23"/>
                <w:szCs w:val="23"/>
              </w:rPr>
            </w:pPr>
            <w:r w:rsidRPr="00BC22F7">
              <w:rPr>
                <w:rFonts w:ascii="Tahoma" w:hAnsi="Tahoma" w:cs="Tahoma"/>
                <w:sz w:val="23"/>
                <w:szCs w:val="23"/>
              </w:rPr>
              <w:t>Private Sector*</w:t>
            </w:r>
          </w:p>
        </w:tc>
        <w:tc>
          <w:tcPr>
            <w:tcW w:w="1915" w:type="dxa"/>
          </w:tcPr>
          <w:p w:rsidR="00A1007C" w:rsidRPr="00BC22F7" w:rsidRDefault="00A1007C" w:rsidP="00E76395">
            <w:pPr>
              <w:jc w:val="center"/>
              <w:rPr>
                <w:rFonts w:ascii="Tahoma" w:hAnsi="Tahoma" w:cs="Tahoma"/>
                <w:sz w:val="23"/>
                <w:szCs w:val="23"/>
              </w:rPr>
            </w:pPr>
            <w:r w:rsidRPr="00BC22F7">
              <w:rPr>
                <w:rFonts w:ascii="Tahoma" w:hAnsi="Tahoma" w:cs="Tahoma"/>
                <w:sz w:val="23"/>
                <w:szCs w:val="23"/>
              </w:rPr>
              <w:t>1.9%</w:t>
            </w:r>
          </w:p>
        </w:tc>
        <w:tc>
          <w:tcPr>
            <w:tcW w:w="1915" w:type="dxa"/>
          </w:tcPr>
          <w:p w:rsidR="00A1007C" w:rsidRPr="00BC22F7" w:rsidRDefault="00A1007C" w:rsidP="00E76395">
            <w:pPr>
              <w:jc w:val="center"/>
              <w:rPr>
                <w:rFonts w:ascii="Tahoma" w:hAnsi="Tahoma" w:cs="Tahoma"/>
                <w:sz w:val="23"/>
                <w:szCs w:val="23"/>
              </w:rPr>
            </w:pPr>
            <w:r w:rsidRPr="00BC22F7">
              <w:rPr>
                <w:rFonts w:ascii="Tahoma" w:hAnsi="Tahoma" w:cs="Tahoma"/>
                <w:sz w:val="23"/>
                <w:szCs w:val="23"/>
              </w:rPr>
              <w:t>2.7%</w:t>
            </w:r>
          </w:p>
        </w:tc>
        <w:tc>
          <w:tcPr>
            <w:tcW w:w="1915" w:type="dxa"/>
          </w:tcPr>
          <w:p w:rsidR="00A1007C" w:rsidRPr="00BC22F7" w:rsidRDefault="00A1007C" w:rsidP="00E76395">
            <w:pPr>
              <w:jc w:val="center"/>
              <w:rPr>
                <w:rFonts w:ascii="Tahoma" w:hAnsi="Tahoma" w:cs="Tahoma"/>
                <w:sz w:val="23"/>
                <w:szCs w:val="23"/>
              </w:rPr>
            </w:pPr>
            <w:r w:rsidRPr="00BC22F7">
              <w:rPr>
                <w:rFonts w:ascii="Tahoma" w:hAnsi="Tahoma" w:cs="Tahoma"/>
                <w:sz w:val="23"/>
                <w:szCs w:val="23"/>
              </w:rPr>
              <w:t>17.1%</w:t>
            </w:r>
          </w:p>
        </w:tc>
        <w:tc>
          <w:tcPr>
            <w:tcW w:w="1916" w:type="dxa"/>
          </w:tcPr>
          <w:p w:rsidR="00A1007C" w:rsidRPr="00BC22F7" w:rsidRDefault="00A1007C" w:rsidP="00E76395">
            <w:pPr>
              <w:jc w:val="center"/>
              <w:rPr>
                <w:rFonts w:ascii="Tahoma" w:hAnsi="Tahoma" w:cs="Tahoma"/>
                <w:sz w:val="23"/>
                <w:szCs w:val="23"/>
              </w:rPr>
            </w:pPr>
            <w:r w:rsidRPr="00BC22F7">
              <w:rPr>
                <w:rFonts w:ascii="Tahoma" w:hAnsi="Tahoma" w:cs="Tahoma"/>
                <w:sz w:val="23"/>
                <w:szCs w:val="23"/>
              </w:rPr>
              <w:t>42.3%</w:t>
            </w:r>
          </w:p>
        </w:tc>
      </w:tr>
      <w:tr w:rsidR="00A1007C" w:rsidRPr="00BC22F7" w:rsidTr="00E76395">
        <w:tc>
          <w:tcPr>
            <w:tcW w:w="1915" w:type="dxa"/>
          </w:tcPr>
          <w:p w:rsidR="00A1007C" w:rsidRPr="00BC22F7" w:rsidRDefault="00A1007C" w:rsidP="00E76395">
            <w:pPr>
              <w:rPr>
                <w:rFonts w:ascii="Tahoma" w:hAnsi="Tahoma" w:cs="Tahoma"/>
                <w:sz w:val="23"/>
                <w:szCs w:val="23"/>
              </w:rPr>
            </w:pPr>
            <w:r w:rsidRPr="00BC22F7">
              <w:rPr>
                <w:rFonts w:ascii="Tahoma" w:hAnsi="Tahoma" w:cs="Tahoma"/>
                <w:sz w:val="23"/>
                <w:szCs w:val="23"/>
              </w:rPr>
              <w:t>Labor Market Availability</w:t>
            </w:r>
          </w:p>
        </w:tc>
        <w:tc>
          <w:tcPr>
            <w:tcW w:w="1915" w:type="dxa"/>
          </w:tcPr>
          <w:p w:rsidR="00A1007C" w:rsidRPr="00BC22F7" w:rsidRDefault="00A1007C" w:rsidP="00E76395">
            <w:pPr>
              <w:jc w:val="center"/>
              <w:rPr>
                <w:rFonts w:ascii="Tahoma" w:hAnsi="Tahoma" w:cs="Tahoma"/>
                <w:sz w:val="23"/>
                <w:szCs w:val="23"/>
              </w:rPr>
            </w:pPr>
          </w:p>
          <w:p w:rsidR="00A1007C" w:rsidRPr="00BC22F7" w:rsidRDefault="00A1007C" w:rsidP="00E76395">
            <w:pPr>
              <w:jc w:val="center"/>
              <w:rPr>
                <w:rFonts w:ascii="Tahoma" w:hAnsi="Tahoma" w:cs="Tahoma"/>
                <w:sz w:val="23"/>
                <w:szCs w:val="23"/>
              </w:rPr>
            </w:pPr>
            <w:r w:rsidRPr="00BC22F7">
              <w:rPr>
                <w:rFonts w:ascii="Tahoma" w:hAnsi="Tahoma" w:cs="Tahoma"/>
                <w:sz w:val="23"/>
                <w:szCs w:val="23"/>
              </w:rPr>
              <w:t>3.1%</w:t>
            </w:r>
          </w:p>
        </w:tc>
        <w:tc>
          <w:tcPr>
            <w:tcW w:w="1915" w:type="dxa"/>
          </w:tcPr>
          <w:p w:rsidR="00A1007C" w:rsidRPr="00BC22F7" w:rsidRDefault="00A1007C" w:rsidP="00E76395">
            <w:pPr>
              <w:jc w:val="center"/>
              <w:rPr>
                <w:rFonts w:ascii="Tahoma" w:hAnsi="Tahoma" w:cs="Tahoma"/>
                <w:sz w:val="23"/>
                <w:szCs w:val="23"/>
              </w:rPr>
            </w:pPr>
          </w:p>
          <w:p w:rsidR="00A1007C" w:rsidRPr="00BC22F7" w:rsidRDefault="00A1007C" w:rsidP="00E76395">
            <w:pPr>
              <w:jc w:val="center"/>
              <w:rPr>
                <w:rFonts w:ascii="Tahoma" w:hAnsi="Tahoma" w:cs="Tahoma"/>
                <w:sz w:val="23"/>
                <w:szCs w:val="23"/>
              </w:rPr>
            </w:pPr>
            <w:r w:rsidRPr="00BC22F7">
              <w:rPr>
                <w:rFonts w:ascii="Tahoma" w:hAnsi="Tahoma" w:cs="Tahoma"/>
                <w:sz w:val="23"/>
                <w:szCs w:val="23"/>
              </w:rPr>
              <w:t>4.7%</w:t>
            </w:r>
          </w:p>
        </w:tc>
        <w:tc>
          <w:tcPr>
            <w:tcW w:w="1915" w:type="dxa"/>
          </w:tcPr>
          <w:p w:rsidR="00A1007C" w:rsidRPr="00BC22F7" w:rsidRDefault="00A1007C" w:rsidP="00E76395">
            <w:pPr>
              <w:jc w:val="center"/>
              <w:rPr>
                <w:rFonts w:ascii="Tahoma" w:hAnsi="Tahoma" w:cs="Tahoma"/>
                <w:sz w:val="23"/>
                <w:szCs w:val="23"/>
              </w:rPr>
            </w:pPr>
          </w:p>
          <w:p w:rsidR="00A1007C" w:rsidRPr="00BC22F7" w:rsidRDefault="00A1007C" w:rsidP="00E76395">
            <w:pPr>
              <w:jc w:val="center"/>
              <w:rPr>
                <w:rFonts w:ascii="Tahoma" w:hAnsi="Tahoma" w:cs="Tahoma"/>
                <w:sz w:val="23"/>
                <w:szCs w:val="23"/>
              </w:rPr>
            </w:pPr>
            <w:r w:rsidRPr="00BC22F7">
              <w:rPr>
                <w:rFonts w:ascii="Tahoma" w:hAnsi="Tahoma" w:cs="Tahoma"/>
                <w:sz w:val="23"/>
                <w:szCs w:val="23"/>
              </w:rPr>
              <w:t>14.5%</w:t>
            </w:r>
          </w:p>
        </w:tc>
        <w:tc>
          <w:tcPr>
            <w:tcW w:w="1916" w:type="dxa"/>
          </w:tcPr>
          <w:p w:rsidR="00A1007C" w:rsidRPr="00BC22F7" w:rsidRDefault="00A1007C" w:rsidP="00E76395">
            <w:pPr>
              <w:jc w:val="center"/>
              <w:rPr>
                <w:rFonts w:ascii="Tahoma" w:hAnsi="Tahoma" w:cs="Tahoma"/>
                <w:sz w:val="23"/>
                <w:szCs w:val="23"/>
              </w:rPr>
            </w:pPr>
          </w:p>
          <w:p w:rsidR="00A1007C" w:rsidRPr="00BC22F7" w:rsidRDefault="00A1007C" w:rsidP="00E76395">
            <w:pPr>
              <w:jc w:val="center"/>
              <w:rPr>
                <w:rFonts w:ascii="Tahoma" w:hAnsi="Tahoma" w:cs="Tahoma"/>
                <w:sz w:val="23"/>
                <w:szCs w:val="23"/>
              </w:rPr>
            </w:pPr>
            <w:r w:rsidRPr="00BC22F7">
              <w:rPr>
                <w:rFonts w:ascii="Tahoma" w:hAnsi="Tahoma" w:cs="Tahoma"/>
                <w:sz w:val="23"/>
                <w:szCs w:val="23"/>
              </w:rPr>
              <w:t>48.6%</w:t>
            </w:r>
          </w:p>
        </w:tc>
      </w:tr>
    </w:tbl>
    <w:p w:rsidR="00A1007C" w:rsidRPr="00BC22F7" w:rsidRDefault="00A1007C" w:rsidP="00A1007C">
      <w:pPr>
        <w:spacing w:after="0" w:line="240" w:lineRule="auto"/>
        <w:rPr>
          <w:rFonts w:ascii="Tahoma" w:hAnsi="Tahoma" w:cs="Tahoma"/>
          <w:sz w:val="23"/>
          <w:szCs w:val="23"/>
        </w:rPr>
      </w:pPr>
      <w:r w:rsidRPr="00BC22F7">
        <w:rPr>
          <w:rFonts w:ascii="Tahoma" w:hAnsi="Tahoma" w:cs="Tahoma"/>
          <w:sz w:val="23"/>
          <w:szCs w:val="23"/>
        </w:rPr>
        <w:t>* Federally-regulated private sector</w:t>
      </w:r>
    </w:p>
    <w:p w:rsidR="00A1007C" w:rsidRPr="00BC22F7" w:rsidRDefault="00A1007C" w:rsidP="00A1007C">
      <w:pPr>
        <w:spacing w:after="0" w:line="240" w:lineRule="auto"/>
        <w:rPr>
          <w:rFonts w:ascii="Tahoma" w:hAnsi="Tahoma" w:cs="Tahoma"/>
          <w:sz w:val="23"/>
          <w:szCs w:val="23"/>
        </w:rPr>
      </w:pPr>
    </w:p>
    <w:p w:rsidR="00DB2FFF" w:rsidRPr="00BC22F7" w:rsidRDefault="00FF5536" w:rsidP="008D765D">
      <w:pPr>
        <w:spacing w:after="0" w:line="240" w:lineRule="auto"/>
        <w:ind w:firstLine="720"/>
        <w:rPr>
          <w:rFonts w:ascii="Tahoma" w:hAnsi="Tahoma" w:cs="Tahoma"/>
          <w:sz w:val="23"/>
          <w:szCs w:val="23"/>
        </w:rPr>
      </w:pPr>
      <w:r w:rsidRPr="00BC22F7">
        <w:rPr>
          <w:rFonts w:ascii="Tahoma" w:hAnsi="Tahoma" w:cs="Tahoma"/>
          <w:sz w:val="23"/>
          <w:szCs w:val="23"/>
        </w:rPr>
        <w:t>Although e</w:t>
      </w:r>
      <w:r w:rsidR="005601B9" w:rsidRPr="00BC22F7">
        <w:rPr>
          <w:rFonts w:ascii="Tahoma" w:hAnsi="Tahoma" w:cs="Tahoma"/>
          <w:sz w:val="23"/>
          <w:szCs w:val="23"/>
        </w:rPr>
        <w:t xml:space="preserve">mployment equity </w:t>
      </w:r>
      <w:r w:rsidRPr="00BC22F7">
        <w:rPr>
          <w:rFonts w:ascii="Tahoma" w:hAnsi="Tahoma" w:cs="Tahoma"/>
          <w:sz w:val="23"/>
          <w:szCs w:val="23"/>
        </w:rPr>
        <w:t xml:space="preserve">has been in place since 1986, the policy </w:t>
      </w:r>
      <w:r w:rsidR="009C757B" w:rsidRPr="00BC22F7">
        <w:rPr>
          <w:rFonts w:ascii="Tahoma" w:hAnsi="Tahoma" w:cs="Tahoma"/>
          <w:sz w:val="23"/>
          <w:szCs w:val="23"/>
        </w:rPr>
        <w:t xml:space="preserve">as an instrument for ensuring representative bureaucracy </w:t>
      </w:r>
      <w:r w:rsidR="00AA5DF6" w:rsidRPr="00BC22F7">
        <w:rPr>
          <w:rFonts w:ascii="Tahoma" w:hAnsi="Tahoma" w:cs="Tahoma"/>
          <w:sz w:val="23"/>
          <w:szCs w:val="23"/>
        </w:rPr>
        <w:t xml:space="preserve">has </w:t>
      </w:r>
      <w:r w:rsidR="005601B9" w:rsidRPr="00BC22F7">
        <w:rPr>
          <w:rFonts w:ascii="Tahoma" w:hAnsi="Tahoma" w:cs="Tahoma"/>
          <w:sz w:val="23"/>
          <w:szCs w:val="23"/>
        </w:rPr>
        <w:t>f</w:t>
      </w:r>
      <w:r w:rsidR="00AA5DF6" w:rsidRPr="00BC22F7">
        <w:rPr>
          <w:rFonts w:ascii="Tahoma" w:hAnsi="Tahoma" w:cs="Tahoma"/>
          <w:sz w:val="23"/>
          <w:szCs w:val="23"/>
        </w:rPr>
        <w:t>allen</w:t>
      </w:r>
      <w:r w:rsidR="005601B9" w:rsidRPr="00BC22F7">
        <w:rPr>
          <w:rFonts w:ascii="Tahoma" w:hAnsi="Tahoma" w:cs="Tahoma"/>
          <w:sz w:val="23"/>
          <w:szCs w:val="23"/>
        </w:rPr>
        <w:t xml:space="preserve"> short </w:t>
      </w:r>
      <w:r w:rsidRPr="00BC22F7">
        <w:rPr>
          <w:rFonts w:ascii="Tahoma" w:hAnsi="Tahoma" w:cs="Tahoma"/>
          <w:sz w:val="23"/>
          <w:szCs w:val="23"/>
        </w:rPr>
        <w:t xml:space="preserve">of meeting </w:t>
      </w:r>
      <w:r w:rsidR="005601B9" w:rsidRPr="00BC22F7">
        <w:rPr>
          <w:rFonts w:ascii="Tahoma" w:hAnsi="Tahoma" w:cs="Tahoma"/>
          <w:sz w:val="23"/>
          <w:szCs w:val="23"/>
        </w:rPr>
        <w:t>its objective</w:t>
      </w:r>
      <w:r w:rsidR="009C757B" w:rsidRPr="00BC22F7">
        <w:rPr>
          <w:rFonts w:ascii="Tahoma" w:hAnsi="Tahoma" w:cs="Tahoma"/>
          <w:sz w:val="23"/>
          <w:szCs w:val="23"/>
        </w:rPr>
        <w:t xml:space="preserve">. Three of the four designated groups that historically face discrimination </w:t>
      </w:r>
      <w:r w:rsidR="003A2A98" w:rsidRPr="00BC22F7">
        <w:rPr>
          <w:rFonts w:ascii="Tahoma" w:hAnsi="Tahoma" w:cs="Tahoma"/>
          <w:sz w:val="23"/>
          <w:szCs w:val="23"/>
        </w:rPr>
        <w:t xml:space="preserve">in the workplace </w:t>
      </w:r>
      <w:r w:rsidR="009C757B" w:rsidRPr="00BC22F7">
        <w:rPr>
          <w:rFonts w:ascii="Tahoma" w:hAnsi="Tahoma" w:cs="Tahoma"/>
          <w:sz w:val="23"/>
          <w:szCs w:val="23"/>
        </w:rPr>
        <w:t xml:space="preserve">remain </w:t>
      </w:r>
      <w:r w:rsidR="00621454" w:rsidRPr="00BC22F7">
        <w:rPr>
          <w:rFonts w:ascii="Tahoma" w:hAnsi="Tahoma" w:cs="Tahoma"/>
          <w:sz w:val="23"/>
          <w:szCs w:val="23"/>
        </w:rPr>
        <w:t>underrepresented</w:t>
      </w:r>
      <w:r w:rsidR="00ED7616" w:rsidRPr="00BC22F7">
        <w:rPr>
          <w:rFonts w:ascii="Tahoma" w:hAnsi="Tahoma" w:cs="Tahoma"/>
          <w:sz w:val="23"/>
          <w:szCs w:val="23"/>
        </w:rPr>
        <w:t xml:space="preserve"> (i.e., </w:t>
      </w:r>
      <w:r w:rsidRPr="00BC22F7">
        <w:rPr>
          <w:rFonts w:ascii="Tahoma" w:hAnsi="Tahoma" w:cs="Tahoma"/>
          <w:sz w:val="23"/>
          <w:szCs w:val="23"/>
        </w:rPr>
        <w:t>persons with disabilities, visible minorities, and women</w:t>
      </w:r>
      <w:r w:rsidR="009C757B" w:rsidRPr="00BC22F7">
        <w:rPr>
          <w:rFonts w:ascii="Tahoma" w:hAnsi="Tahoma" w:cs="Tahoma"/>
          <w:sz w:val="23"/>
          <w:szCs w:val="23"/>
        </w:rPr>
        <w:t>)</w:t>
      </w:r>
      <w:r w:rsidRPr="00BC22F7">
        <w:rPr>
          <w:rFonts w:ascii="Tahoma" w:hAnsi="Tahoma" w:cs="Tahoma"/>
          <w:sz w:val="23"/>
          <w:szCs w:val="23"/>
        </w:rPr>
        <w:t xml:space="preserve"> </w:t>
      </w:r>
      <w:r w:rsidR="005601B9" w:rsidRPr="00BC22F7">
        <w:rPr>
          <w:rFonts w:ascii="Tahoma" w:hAnsi="Tahoma" w:cs="Tahoma"/>
          <w:sz w:val="23"/>
          <w:szCs w:val="23"/>
        </w:rPr>
        <w:t>relative to the</w:t>
      </w:r>
      <w:r w:rsidR="003A2A98" w:rsidRPr="00BC22F7">
        <w:rPr>
          <w:rFonts w:ascii="Tahoma" w:hAnsi="Tahoma" w:cs="Tahoma"/>
          <w:sz w:val="23"/>
          <w:szCs w:val="23"/>
        </w:rPr>
        <w:t>ir representation in the</w:t>
      </w:r>
      <w:r w:rsidR="005601B9" w:rsidRPr="00BC22F7">
        <w:rPr>
          <w:rFonts w:ascii="Tahoma" w:hAnsi="Tahoma" w:cs="Tahoma"/>
          <w:sz w:val="23"/>
          <w:szCs w:val="23"/>
        </w:rPr>
        <w:t xml:space="preserve"> Canadian workforce</w:t>
      </w:r>
      <w:r w:rsidRPr="00BC22F7">
        <w:rPr>
          <w:rFonts w:ascii="Tahoma" w:hAnsi="Tahoma" w:cs="Tahoma"/>
          <w:sz w:val="23"/>
          <w:szCs w:val="23"/>
        </w:rPr>
        <w:t xml:space="preserve"> (see Table 1).</w:t>
      </w:r>
      <w:r w:rsidR="002754FD" w:rsidRPr="00BC22F7">
        <w:rPr>
          <w:rFonts w:ascii="Tahoma" w:hAnsi="Tahoma" w:cs="Tahoma"/>
          <w:sz w:val="23"/>
          <w:szCs w:val="23"/>
        </w:rPr>
        <w:t xml:space="preserve"> </w:t>
      </w:r>
      <w:r w:rsidR="00ED7616" w:rsidRPr="00BC22F7">
        <w:rPr>
          <w:rFonts w:ascii="Tahoma" w:hAnsi="Tahoma" w:cs="Tahoma"/>
          <w:sz w:val="23"/>
          <w:szCs w:val="23"/>
        </w:rPr>
        <w:t xml:space="preserve"> </w:t>
      </w:r>
      <w:r w:rsidR="003A2A98" w:rsidRPr="00BC22F7">
        <w:rPr>
          <w:rFonts w:ascii="Tahoma" w:hAnsi="Tahoma" w:cs="Tahoma"/>
          <w:sz w:val="23"/>
          <w:szCs w:val="23"/>
        </w:rPr>
        <w:t xml:space="preserve">While </w:t>
      </w:r>
      <w:r w:rsidR="00530577" w:rsidRPr="00BC22F7">
        <w:rPr>
          <w:rFonts w:ascii="Tahoma" w:hAnsi="Tahoma" w:cs="Tahoma"/>
          <w:sz w:val="23"/>
          <w:szCs w:val="23"/>
        </w:rPr>
        <w:t xml:space="preserve">overall </w:t>
      </w:r>
      <w:r w:rsidR="003A2A98" w:rsidRPr="00BC22F7">
        <w:rPr>
          <w:rFonts w:ascii="Tahoma" w:hAnsi="Tahoma" w:cs="Tahoma"/>
          <w:sz w:val="23"/>
          <w:szCs w:val="23"/>
        </w:rPr>
        <w:t>r</w:t>
      </w:r>
      <w:r w:rsidR="00ED7616" w:rsidRPr="00BC22F7">
        <w:rPr>
          <w:rFonts w:ascii="Tahoma" w:hAnsi="Tahoma" w:cs="Tahoma"/>
          <w:sz w:val="23"/>
          <w:szCs w:val="23"/>
        </w:rPr>
        <w:t xml:space="preserve">epresentation </w:t>
      </w:r>
      <w:r w:rsidR="00530577" w:rsidRPr="00BC22F7">
        <w:rPr>
          <w:rFonts w:ascii="Tahoma" w:hAnsi="Tahoma" w:cs="Tahoma"/>
          <w:sz w:val="23"/>
          <w:szCs w:val="23"/>
        </w:rPr>
        <w:t xml:space="preserve">rates </w:t>
      </w:r>
      <w:r w:rsidR="00ED7616" w:rsidRPr="00BC22F7">
        <w:rPr>
          <w:rFonts w:ascii="Tahoma" w:hAnsi="Tahoma" w:cs="Tahoma"/>
          <w:sz w:val="23"/>
          <w:szCs w:val="23"/>
        </w:rPr>
        <w:t xml:space="preserve">for Aboriginal peoples </w:t>
      </w:r>
      <w:r w:rsidR="00530577" w:rsidRPr="00BC22F7">
        <w:rPr>
          <w:rFonts w:ascii="Tahoma" w:hAnsi="Tahoma" w:cs="Tahoma"/>
          <w:sz w:val="23"/>
          <w:szCs w:val="23"/>
        </w:rPr>
        <w:t>approximate those of the Canadian population</w:t>
      </w:r>
      <w:r w:rsidR="00ED7616" w:rsidRPr="00BC22F7">
        <w:rPr>
          <w:rFonts w:ascii="Tahoma" w:hAnsi="Tahoma" w:cs="Tahoma"/>
          <w:sz w:val="23"/>
          <w:szCs w:val="23"/>
        </w:rPr>
        <w:t>, a more detailed analysis suggest</w:t>
      </w:r>
      <w:r w:rsidR="00D57E4D" w:rsidRPr="00BC22F7">
        <w:rPr>
          <w:rFonts w:ascii="Tahoma" w:hAnsi="Tahoma" w:cs="Tahoma"/>
          <w:sz w:val="23"/>
          <w:szCs w:val="23"/>
        </w:rPr>
        <w:t>s</w:t>
      </w:r>
      <w:r w:rsidR="00ED7616" w:rsidRPr="00BC22F7">
        <w:rPr>
          <w:rFonts w:ascii="Tahoma" w:hAnsi="Tahoma" w:cs="Tahoma"/>
          <w:sz w:val="23"/>
          <w:szCs w:val="23"/>
        </w:rPr>
        <w:t xml:space="preserve"> that </w:t>
      </w:r>
      <w:r w:rsidR="00530577" w:rsidRPr="00BC22F7">
        <w:rPr>
          <w:rFonts w:ascii="Tahoma" w:hAnsi="Tahoma" w:cs="Tahoma"/>
          <w:sz w:val="23"/>
          <w:szCs w:val="23"/>
        </w:rPr>
        <w:t>Aboriginal people are often “</w:t>
      </w:r>
      <w:r w:rsidR="00ED7616" w:rsidRPr="00BC22F7">
        <w:rPr>
          <w:rFonts w:ascii="Tahoma" w:hAnsi="Tahoma" w:cs="Tahoma"/>
          <w:sz w:val="23"/>
          <w:szCs w:val="23"/>
        </w:rPr>
        <w:t>ghettoized</w:t>
      </w:r>
      <w:r w:rsidR="00530577" w:rsidRPr="00BC22F7">
        <w:rPr>
          <w:rFonts w:ascii="Tahoma" w:hAnsi="Tahoma" w:cs="Tahoma"/>
          <w:sz w:val="23"/>
          <w:szCs w:val="23"/>
        </w:rPr>
        <w:t>”</w:t>
      </w:r>
      <w:r w:rsidR="00ED7616" w:rsidRPr="00BC22F7">
        <w:rPr>
          <w:rFonts w:ascii="Tahoma" w:hAnsi="Tahoma" w:cs="Tahoma"/>
          <w:sz w:val="23"/>
          <w:szCs w:val="23"/>
        </w:rPr>
        <w:t xml:space="preserve"> in </w:t>
      </w:r>
      <w:r w:rsidR="00530577" w:rsidRPr="00BC22F7">
        <w:rPr>
          <w:rFonts w:ascii="Tahoma" w:hAnsi="Tahoma" w:cs="Tahoma"/>
          <w:sz w:val="23"/>
          <w:szCs w:val="23"/>
        </w:rPr>
        <w:t xml:space="preserve">positions in </w:t>
      </w:r>
      <w:r w:rsidR="00ED7616" w:rsidRPr="00BC22F7">
        <w:rPr>
          <w:rFonts w:ascii="Tahoma" w:hAnsi="Tahoma" w:cs="Tahoma"/>
          <w:sz w:val="23"/>
          <w:szCs w:val="23"/>
        </w:rPr>
        <w:t>the lowest levels</w:t>
      </w:r>
      <w:r w:rsidR="00D57E4D" w:rsidRPr="00BC22F7">
        <w:rPr>
          <w:rFonts w:ascii="Tahoma" w:hAnsi="Tahoma" w:cs="Tahoma"/>
          <w:sz w:val="23"/>
          <w:szCs w:val="23"/>
        </w:rPr>
        <w:t xml:space="preserve"> of </w:t>
      </w:r>
      <w:r w:rsidR="00530577" w:rsidRPr="00BC22F7">
        <w:rPr>
          <w:rFonts w:ascii="Tahoma" w:hAnsi="Tahoma" w:cs="Tahoma"/>
          <w:sz w:val="23"/>
          <w:szCs w:val="23"/>
        </w:rPr>
        <w:t xml:space="preserve">the </w:t>
      </w:r>
      <w:r w:rsidR="00D57E4D" w:rsidRPr="00BC22F7">
        <w:rPr>
          <w:rFonts w:ascii="Tahoma" w:hAnsi="Tahoma" w:cs="Tahoma"/>
          <w:sz w:val="23"/>
          <w:szCs w:val="23"/>
        </w:rPr>
        <w:t>government (</w:t>
      </w:r>
      <w:proofErr w:type="spellStart"/>
      <w:r w:rsidR="00D57E4D" w:rsidRPr="00BC22F7">
        <w:rPr>
          <w:rFonts w:ascii="Tahoma" w:hAnsi="Tahoma" w:cs="Tahoma"/>
          <w:sz w:val="23"/>
          <w:szCs w:val="23"/>
        </w:rPr>
        <w:t>Agocs</w:t>
      </w:r>
      <w:proofErr w:type="spellEnd"/>
      <w:r w:rsidR="00D57E4D" w:rsidRPr="00BC22F7">
        <w:rPr>
          <w:rFonts w:ascii="Tahoma" w:hAnsi="Tahoma" w:cs="Tahoma"/>
          <w:sz w:val="23"/>
          <w:szCs w:val="23"/>
        </w:rPr>
        <w:t xml:space="preserve">, 2012). </w:t>
      </w:r>
      <w:r w:rsidR="004B7BE7" w:rsidRPr="00BC22F7">
        <w:rPr>
          <w:rFonts w:ascii="Tahoma" w:hAnsi="Tahoma" w:cs="Tahoma"/>
          <w:sz w:val="23"/>
          <w:szCs w:val="23"/>
        </w:rPr>
        <w:t xml:space="preserve">Although the Canadian government is </w:t>
      </w:r>
      <w:r w:rsidR="00655656" w:rsidRPr="00BC22F7">
        <w:rPr>
          <w:rFonts w:ascii="Tahoma" w:hAnsi="Tahoma" w:cs="Tahoma"/>
          <w:sz w:val="23"/>
          <w:szCs w:val="23"/>
        </w:rPr>
        <w:t xml:space="preserve">actively recruiting </w:t>
      </w:r>
      <w:r w:rsidR="00BD7CD7" w:rsidRPr="00BC22F7">
        <w:rPr>
          <w:rFonts w:ascii="Tahoma" w:hAnsi="Tahoma" w:cs="Tahoma"/>
          <w:sz w:val="23"/>
          <w:szCs w:val="23"/>
        </w:rPr>
        <w:t xml:space="preserve">members of minority groups </w:t>
      </w:r>
      <w:r w:rsidR="004B7BE7" w:rsidRPr="00BC22F7">
        <w:rPr>
          <w:rFonts w:ascii="Tahoma" w:hAnsi="Tahoma" w:cs="Tahoma"/>
          <w:sz w:val="23"/>
          <w:szCs w:val="23"/>
        </w:rPr>
        <w:t>to close the representation gaps</w:t>
      </w:r>
      <w:r w:rsidR="00BD7CD7" w:rsidRPr="00BC22F7">
        <w:rPr>
          <w:rFonts w:ascii="Tahoma" w:hAnsi="Tahoma" w:cs="Tahoma"/>
          <w:sz w:val="23"/>
          <w:szCs w:val="23"/>
        </w:rPr>
        <w:t xml:space="preserve"> (</w:t>
      </w:r>
      <w:proofErr w:type="spellStart"/>
      <w:r w:rsidR="001A529B" w:rsidRPr="00BC22F7">
        <w:rPr>
          <w:rFonts w:ascii="Tahoma" w:hAnsi="Tahoma" w:cs="Tahoma"/>
          <w:sz w:val="23"/>
          <w:szCs w:val="23"/>
        </w:rPr>
        <w:t>Benhamadi</w:t>
      </w:r>
      <w:proofErr w:type="spellEnd"/>
      <w:r w:rsidR="001A529B" w:rsidRPr="00BC22F7">
        <w:rPr>
          <w:rFonts w:ascii="Tahoma" w:hAnsi="Tahoma" w:cs="Tahoma"/>
          <w:sz w:val="23"/>
          <w:szCs w:val="23"/>
        </w:rPr>
        <w:t xml:space="preserve">, 2003; </w:t>
      </w:r>
      <w:r w:rsidR="000B584C" w:rsidRPr="00BC22F7">
        <w:rPr>
          <w:rFonts w:ascii="Tahoma" w:hAnsi="Tahoma" w:cs="Tahoma"/>
          <w:sz w:val="23"/>
          <w:szCs w:val="23"/>
        </w:rPr>
        <w:t>Public Service Commission of Canada, 2011</w:t>
      </w:r>
      <w:r w:rsidR="00BD7CD7" w:rsidRPr="00BC22F7">
        <w:rPr>
          <w:rFonts w:ascii="Tahoma" w:hAnsi="Tahoma" w:cs="Tahoma"/>
          <w:sz w:val="23"/>
          <w:szCs w:val="23"/>
        </w:rPr>
        <w:t>)</w:t>
      </w:r>
      <w:r w:rsidR="004B7BE7" w:rsidRPr="00BC22F7">
        <w:rPr>
          <w:rFonts w:ascii="Tahoma" w:hAnsi="Tahoma" w:cs="Tahoma"/>
          <w:sz w:val="23"/>
          <w:szCs w:val="23"/>
        </w:rPr>
        <w:t>,</w:t>
      </w:r>
      <w:r w:rsidR="00D57E4D" w:rsidRPr="00BC22F7">
        <w:rPr>
          <w:rFonts w:ascii="Tahoma" w:hAnsi="Tahoma" w:cs="Tahoma"/>
          <w:sz w:val="23"/>
          <w:szCs w:val="23"/>
        </w:rPr>
        <w:t xml:space="preserve"> it remains unclear if minority group members are </w:t>
      </w:r>
      <w:r w:rsidR="00AA5DF6" w:rsidRPr="00BC22F7">
        <w:rPr>
          <w:rFonts w:ascii="Tahoma" w:hAnsi="Tahoma" w:cs="Tahoma"/>
          <w:sz w:val="23"/>
          <w:szCs w:val="23"/>
        </w:rPr>
        <w:t>attracted to employment in the</w:t>
      </w:r>
      <w:r w:rsidR="00D57E4D" w:rsidRPr="00BC22F7">
        <w:rPr>
          <w:rFonts w:ascii="Tahoma" w:hAnsi="Tahoma" w:cs="Tahoma"/>
          <w:sz w:val="23"/>
          <w:szCs w:val="23"/>
        </w:rPr>
        <w:t xml:space="preserve"> public service </w:t>
      </w:r>
      <w:r w:rsidR="00AA5DF6" w:rsidRPr="00BC22F7">
        <w:rPr>
          <w:rFonts w:ascii="Tahoma" w:hAnsi="Tahoma" w:cs="Tahoma"/>
          <w:sz w:val="23"/>
          <w:szCs w:val="23"/>
        </w:rPr>
        <w:t xml:space="preserve">or may be more attracted to employment in the private sector where employers are also aggressively </w:t>
      </w:r>
      <w:r w:rsidR="00AA5DF6" w:rsidRPr="00BC22F7">
        <w:rPr>
          <w:rFonts w:ascii="Tahoma" w:hAnsi="Tahoma" w:cs="Tahoma"/>
          <w:sz w:val="23"/>
          <w:szCs w:val="23"/>
        </w:rPr>
        <w:lastRenderedPageBreak/>
        <w:t xml:space="preserve">competing for top talent </w:t>
      </w:r>
      <w:r w:rsidR="001603AA" w:rsidRPr="00BC22F7">
        <w:rPr>
          <w:rFonts w:ascii="Tahoma" w:hAnsi="Tahoma" w:cs="Tahoma"/>
          <w:sz w:val="23"/>
          <w:szCs w:val="23"/>
        </w:rPr>
        <w:t>and aiming to broaden the diversity of their workforce</w:t>
      </w:r>
      <w:r w:rsidR="006262F0" w:rsidRPr="00BC22F7">
        <w:rPr>
          <w:rStyle w:val="FootnoteReference"/>
          <w:rFonts w:ascii="Tahoma" w:hAnsi="Tahoma" w:cs="Tahoma"/>
          <w:sz w:val="23"/>
          <w:szCs w:val="23"/>
        </w:rPr>
        <w:footnoteReference w:id="2"/>
      </w:r>
      <w:r w:rsidR="001603AA" w:rsidRPr="00BC22F7">
        <w:rPr>
          <w:rFonts w:ascii="Tahoma" w:hAnsi="Tahoma" w:cs="Tahoma"/>
          <w:sz w:val="23"/>
          <w:szCs w:val="23"/>
        </w:rPr>
        <w:t xml:space="preserve">. </w:t>
      </w:r>
      <w:r w:rsidR="00D86D57" w:rsidRPr="00BC22F7">
        <w:rPr>
          <w:rFonts w:ascii="Tahoma" w:hAnsi="Tahoma" w:cs="Tahoma"/>
          <w:sz w:val="23"/>
          <w:szCs w:val="23"/>
        </w:rPr>
        <w:t xml:space="preserve">Thus, a compelling case can be made to investigate </w:t>
      </w:r>
      <w:r w:rsidR="001603AA" w:rsidRPr="00BC22F7">
        <w:rPr>
          <w:rFonts w:ascii="Tahoma" w:hAnsi="Tahoma" w:cs="Tahoma"/>
          <w:sz w:val="23"/>
          <w:szCs w:val="23"/>
        </w:rPr>
        <w:t xml:space="preserve">individuals’ </w:t>
      </w:r>
      <w:r w:rsidR="00D86D57" w:rsidRPr="00BC22F7">
        <w:rPr>
          <w:rFonts w:ascii="Tahoma" w:hAnsi="Tahoma" w:cs="Tahoma"/>
          <w:sz w:val="23"/>
          <w:szCs w:val="23"/>
        </w:rPr>
        <w:t>motives behind joining the public service, particularly among minority group members.</w:t>
      </w:r>
    </w:p>
    <w:p w:rsidR="004A265D" w:rsidRPr="00BC22F7" w:rsidRDefault="004A265D" w:rsidP="008A026D">
      <w:pPr>
        <w:spacing w:after="0" w:line="240" w:lineRule="auto"/>
        <w:rPr>
          <w:rFonts w:ascii="Tahoma" w:hAnsi="Tahoma" w:cs="Tahoma"/>
          <w:sz w:val="23"/>
          <w:szCs w:val="23"/>
        </w:rPr>
      </w:pPr>
    </w:p>
    <w:p w:rsidR="00F126FF" w:rsidRPr="00BC22F7" w:rsidRDefault="00F126FF" w:rsidP="008A026D">
      <w:pPr>
        <w:spacing w:after="0" w:line="240" w:lineRule="auto"/>
        <w:jc w:val="center"/>
        <w:rPr>
          <w:rFonts w:ascii="Tahoma" w:hAnsi="Tahoma" w:cs="Tahoma"/>
          <w:sz w:val="23"/>
          <w:szCs w:val="23"/>
        </w:rPr>
      </w:pPr>
      <w:r w:rsidRPr="00BC22F7">
        <w:rPr>
          <w:rFonts w:ascii="Tahoma" w:hAnsi="Tahoma" w:cs="Tahoma"/>
          <w:sz w:val="23"/>
          <w:szCs w:val="23"/>
        </w:rPr>
        <w:t>Public Se</w:t>
      </w:r>
      <w:r w:rsidR="00EA5C6B" w:rsidRPr="00BC22F7">
        <w:rPr>
          <w:rFonts w:ascii="Tahoma" w:hAnsi="Tahoma" w:cs="Tahoma"/>
          <w:sz w:val="23"/>
          <w:szCs w:val="23"/>
        </w:rPr>
        <w:t>ctor</w:t>
      </w:r>
      <w:r w:rsidRPr="00BC22F7">
        <w:rPr>
          <w:rFonts w:ascii="Tahoma" w:hAnsi="Tahoma" w:cs="Tahoma"/>
          <w:sz w:val="23"/>
          <w:szCs w:val="23"/>
        </w:rPr>
        <w:t xml:space="preserve"> </w:t>
      </w:r>
      <w:r w:rsidR="00616B39" w:rsidRPr="00BC22F7">
        <w:rPr>
          <w:rFonts w:ascii="Tahoma" w:hAnsi="Tahoma" w:cs="Tahoma"/>
          <w:sz w:val="23"/>
          <w:szCs w:val="23"/>
        </w:rPr>
        <w:t xml:space="preserve">Attraction and </w:t>
      </w:r>
      <w:r w:rsidRPr="00BC22F7">
        <w:rPr>
          <w:rFonts w:ascii="Tahoma" w:hAnsi="Tahoma" w:cs="Tahoma"/>
          <w:sz w:val="23"/>
          <w:szCs w:val="23"/>
        </w:rPr>
        <w:t>Motivation</w:t>
      </w:r>
    </w:p>
    <w:p w:rsidR="00A307DC" w:rsidRPr="00BC22F7" w:rsidRDefault="00A307DC" w:rsidP="008A026D">
      <w:pPr>
        <w:spacing w:after="0" w:line="240" w:lineRule="auto"/>
        <w:jc w:val="center"/>
        <w:rPr>
          <w:rFonts w:ascii="Tahoma" w:hAnsi="Tahoma" w:cs="Tahoma"/>
          <w:sz w:val="23"/>
          <w:szCs w:val="23"/>
        </w:rPr>
      </w:pPr>
    </w:p>
    <w:p w:rsidR="00A4605E" w:rsidRPr="00BC22F7" w:rsidRDefault="00A307DC" w:rsidP="008A026D">
      <w:pPr>
        <w:spacing w:after="0" w:line="240" w:lineRule="auto"/>
        <w:rPr>
          <w:rFonts w:ascii="Tahoma" w:hAnsi="Tahoma" w:cs="Tahoma"/>
          <w:sz w:val="23"/>
          <w:szCs w:val="23"/>
        </w:rPr>
      </w:pPr>
      <w:r w:rsidRPr="00BC22F7">
        <w:rPr>
          <w:rFonts w:ascii="Tahoma" w:hAnsi="Tahoma" w:cs="Tahoma"/>
          <w:sz w:val="23"/>
          <w:szCs w:val="23"/>
        </w:rPr>
        <w:tab/>
      </w:r>
      <w:r w:rsidR="002064A7" w:rsidRPr="00BC22F7">
        <w:rPr>
          <w:rFonts w:ascii="Tahoma" w:hAnsi="Tahoma" w:cs="Tahoma"/>
          <w:sz w:val="23"/>
          <w:szCs w:val="23"/>
        </w:rPr>
        <w:t xml:space="preserve">In recent years, a </w:t>
      </w:r>
      <w:r w:rsidR="00CE04B7" w:rsidRPr="00BC22F7">
        <w:rPr>
          <w:rFonts w:ascii="Tahoma" w:hAnsi="Tahoma" w:cs="Tahoma"/>
          <w:sz w:val="23"/>
          <w:szCs w:val="23"/>
        </w:rPr>
        <w:t>number of p</w:t>
      </w:r>
      <w:r w:rsidR="00843868" w:rsidRPr="00BC22F7">
        <w:rPr>
          <w:rFonts w:ascii="Tahoma" w:hAnsi="Tahoma" w:cs="Tahoma"/>
          <w:sz w:val="23"/>
          <w:szCs w:val="23"/>
        </w:rPr>
        <w:t xml:space="preserve">ublic administration scholars have </w:t>
      </w:r>
      <w:r w:rsidR="002064A7" w:rsidRPr="00BC22F7">
        <w:rPr>
          <w:rFonts w:ascii="Tahoma" w:hAnsi="Tahoma" w:cs="Tahoma"/>
          <w:sz w:val="23"/>
          <w:szCs w:val="23"/>
        </w:rPr>
        <w:t>studied</w:t>
      </w:r>
      <w:r w:rsidR="0042190D" w:rsidRPr="00BC22F7">
        <w:rPr>
          <w:rFonts w:ascii="Tahoma" w:hAnsi="Tahoma" w:cs="Tahoma"/>
          <w:sz w:val="23"/>
          <w:szCs w:val="23"/>
        </w:rPr>
        <w:t xml:space="preserve"> </w:t>
      </w:r>
      <w:r w:rsidR="002064A7" w:rsidRPr="00BC22F7">
        <w:rPr>
          <w:rFonts w:ascii="Tahoma" w:hAnsi="Tahoma" w:cs="Tahoma"/>
          <w:sz w:val="23"/>
          <w:szCs w:val="23"/>
        </w:rPr>
        <w:t>the concept</w:t>
      </w:r>
      <w:r w:rsidR="00EA5C6B" w:rsidRPr="00BC22F7">
        <w:rPr>
          <w:rFonts w:ascii="Tahoma" w:hAnsi="Tahoma" w:cs="Tahoma"/>
          <w:sz w:val="23"/>
          <w:szCs w:val="23"/>
        </w:rPr>
        <w:t>s</w:t>
      </w:r>
      <w:r w:rsidR="002064A7" w:rsidRPr="00BC22F7">
        <w:rPr>
          <w:rFonts w:ascii="Tahoma" w:hAnsi="Tahoma" w:cs="Tahoma"/>
          <w:sz w:val="23"/>
          <w:szCs w:val="23"/>
        </w:rPr>
        <w:t xml:space="preserve"> of </w:t>
      </w:r>
      <w:r w:rsidR="00F27998" w:rsidRPr="00BC22F7">
        <w:rPr>
          <w:rFonts w:ascii="Tahoma" w:hAnsi="Tahoma" w:cs="Tahoma"/>
          <w:sz w:val="23"/>
          <w:szCs w:val="23"/>
        </w:rPr>
        <w:t>public</w:t>
      </w:r>
      <w:r w:rsidR="00EA5C6B" w:rsidRPr="00BC22F7">
        <w:rPr>
          <w:rFonts w:ascii="Tahoma" w:hAnsi="Tahoma" w:cs="Tahoma"/>
          <w:sz w:val="23"/>
          <w:szCs w:val="23"/>
        </w:rPr>
        <w:t xml:space="preserve"> sector or public</w:t>
      </w:r>
      <w:r w:rsidR="00F27998" w:rsidRPr="00BC22F7">
        <w:rPr>
          <w:rFonts w:ascii="Tahoma" w:hAnsi="Tahoma" w:cs="Tahoma"/>
          <w:sz w:val="23"/>
          <w:szCs w:val="23"/>
        </w:rPr>
        <w:t xml:space="preserve"> service</w:t>
      </w:r>
      <w:r w:rsidR="0042190D" w:rsidRPr="00BC22F7">
        <w:rPr>
          <w:rFonts w:ascii="Tahoma" w:hAnsi="Tahoma" w:cs="Tahoma"/>
          <w:sz w:val="23"/>
          <w:szCs w:val="23"/>
        </w:rPr>
        <w:t xml:space="preserve"> attraction</w:t>
      </w:r>
      <w:r w:rsidR="00EA5C6B" w:rsidRPr="00BC22F7">
        <w:rPr>
          <w:rFonts w:ascii="Tahoma" w:hAnsi="Tahoma" w:cs="Tahoma"/>
          <w:sz w:val="23"/>
          <w:szCs w:val="23"/>
        </w:rPr>
        <w:t>, including what is sometimes</w:t>
      </w:r>
      <w:r w:rsidR="0042190D" w:rsidRPr="00BC22F7">
        <w:rPr>
          <w:rFonts w:ascii="Tahoma" w:hAnsi="Tahoma" w:cs="Tahoma"/>
          <w:sz w:val="23"/>
          <w:szCs w:val="23"/>
        </w:rPr>
        <w:t xml:space="preserve"> labelled “public service motivation</w:t>
      </w:r>
      <w:r w:rsidR="00AE011E" w:rsidRPr="00BC22F7">
        <w:rPr>
          <w:rFonts w:ascii="Tahoma" w:hAnsi="Tahoma" w:cs="Tahoma"/>
          <w:sz w:val="23"/>
          <w:szCs w:val="23"/>
        </w:rPr>
        <w:t>.</w:t>
      </w:r>
      <w:r w:rsidR="0042190D" w:rsidRPr="00BC22F7">
        <w:rPr>
          <w:rFonts w:ascii="Tahoma" w:hAnsi="Tahoma" w:cs="Tahoma"/>
          <w:sz w:val="23"/>
          <w:szCs w:val="23"/>
        </w:rPr>
        <w:t>”</w:t>
      </w:r>
      <w:r w:rsidR="00843868" w:rsidRPr="00BC22F7">
        <w:rPr>
          <w:rFonts w:ascii="Tahoma" w:hAnsi="Tahoma" w:cs="Tahoma"/>
          <w:sz w:val="23"/>
          <w:szCs w:val="23"/>
        </w:rPr>
        <w:t xml:space="preserve"> Perry and Wise (1990) </w:t>
      </w:r>
      <w:r w:rsidR="00F27998" w:rsidRPr="00BC22F7">
        <w:rPr>
          <w:rFonts w:ascii="Tahoma" w:hAnsi="Tahoma" w:cs="Tahoma"/>
          <w:sz w:val="23"/>
          <w:szCs w:val="23"/>
        </w:rPr>
        <w:t xml:space="preserve">first </w:t>
      </w:r>
      <w:r w:rsidR="00CE04B7" w:rsidRPr="00BC22F7">
        <w:rPr>
          <w:rFonts w:ascii="Tahoma" w:hAnsi="Tahoma" w:cs="Tahoma"/>
          <w:sz w:val="23"/>
          <w:szCs w:val="23"/>
        </w:rPr>
        <w:t xml:space="preserve">theorized </w:t>
      </w:r>
      <w:r w:rsidR="001A529B" w:rsidRPr="00BC22F7">
        <w:rPr>
          <w:rFonts w:ascii="Tahoma" w:hAnsi="Tahoma" w:cs="Tahoma"/>
          <w:sz w:val="23"/>
          <w:szCs w:val="23"/>
        </w:rPr>
        <w:t xml:space="preserve">that individuals may be drawn to public service </w:t>
      </w:r>
      <w:r w:rsidR="00CE04B7" w:rsidRPr="00BC22F7">
        <w:rPr>
          <w:rFonts w:ascii="Tahoma" w:hAnsi="Tahoma" w:cs="Tahoma"/>
          <w:sz w:val="23"/>
          <w:szCs w:val="23"/>
        </w:rPr>
        <w:t xml:space="preserve">as a function of </w:t>
      </w:r>
      <w:r w:rsidR="001A529B" w:rsidRPr="00BC22F7">
        <w:rPr>
          <w:rFonts w:ascii="Tahoma" w:hAnsi="Tahoma" w:cs="Tahoma"/>
          <w:sz w:val="23"/>
          <w:szCs w:val="23"/>
        </w:rPr>
        <w:t>rational</w:t>
      </w:r>
      <w:r w:rsidR="00EA0D4C" w:rsidRPr="00BC22F7">
        <w:rPr>
          <w:rFonts w:ascii="Tahoma" w:hAnsi="Tahoma" w:cs="Tahoma"/>
          <w:sz w:val="23"/>
          <w:szCs w:val="23"/>
        </w:rPr>
        <w:t xml:space="preserve"> (self-interests)</w:t>
      </w:r>
      <w:r w:rsidR="001A529B" w:rsidRPr="00BC22F7">
        <w:rPr>
          <w:rFonts w:ascii="Tahoma" w:hAnsi="Tahoma" w:cs="Tahoma"/>
          <w:sz w:val="23"/>
          <w:szCs w:val="23"/>
        </w:rPr>
        <w:t>, normative</w:t>
      </w:r>
      <w:r w:rsidR="00EA0D4C" w:rsidRPr="00BC22F7">
        <w:rPr>
          <w:rFonts w:ascii="Tahoma" w:hAnsi="Tahoma" w:cs="Tahoma"/>
          <w:sz w:val="23"/>
          <w:szCs w:val="23"/>
        </w:rPr>
        <w:t xml:space="preserve"> (social justice)</w:t>
      </w:r>
      <w:r w:rsidR="001A529B" w:rsidRPr="00BC22F7">
        <w:rPr>
          <w:rFonts w:ascii="Tahoma" w:hAnsi="Tahoma" w:cs="Tahoma"/>
          <w:sz w:val="23"/>
          <w:szCs w:val="23"/>
        </w:rPr>
        <w:t xml:space="preserve">, and affective </w:t>
      </w:r>
      <w:r w:rsidR="00EA0D4C" w:rsidRPr="00BC22F7">
        <w:rPr>
          <w:rFonts w:ascii="Tahoma" w:hAnsi="Tahoma" w:cs="Tahoma"/>
          <w:sz w:val="23"/>
          <w:szCs w:val="23"/>
        </w:rPr>
        <w:t xml:space="preserve">(sacrifice for the country) </w:t>
      </w:r>
      <w:r w:rsidR="001A529B" w:rsidRPr="00BC22F7">
        <w:rPr>
          <w:rFonts w:ascii="Tahoma" w:hAnsi="Tahoma" w:cs="Tahoma"/>
          <w:sz w:val="23"/>
          <w:szCs w:val="23"/>
        </w:rPr>
        <w:t xml:space="preserve">reasons. Subsequent research </w:t>
      </w:r>
      <w:r w:rsidR="00CE04B7" w:rsidRPr="00BC22F7">
        <w:rPr>
          <w:rFonts w:ascii="Tahoma" w:hAnsi="Tahoma" w:cs="Tahoma"/>
          <w:sz w:val="23"/>
          <w:szCs w:val="23"/>
        </w:rPr>
        <w:t xml:space="preserve">has refined this initial conceptualization, identifying four </w:t>
      </w:r>
      <w:r w:rsidR="000727FE" w:rsidRPr="00BC22F7">
        <w:rPr>
          <w:rFonts w:ascii="Tahoma" w:hAnsi="Tahoma" w:cs="Tahoma"/>
          <w:sz w:val="23"/>
          <w:szCs w:val="23"/>
        </w:rPr>
        <w:t xml:space="preserve">factors that explain attraction to the </w:t>
      </w:r>
      <w:r w:rsidR="00CE04B7" w:rsidRPr="00BC22F7">
        <w:rPr>
          <w:rFonts w:ascii="Tahoma" w:hAnsi="Tahoma" w:cs="Tahoma"/>
          <w:sz w:val="23"/>
          <w:szCs w:val="23"/>
        </w:rPr>
        <w:t>public service</w:t>
      </w:r>
      <w:r w:rsidR="000727FE" w:rsidRPr="00BC22F7">
        <w:rPr>
          <w:rFonts w:ascii="Tahoma" w:hAnsi="Tahoma" w:cs="Tahoma"/>
          <w:sz w:val="23"/>
          <w:szCs w:val="23"/>
        </w:rPr>
        <w:t xml:space="preserve"> </w:t>
      </w:r>
      <w:r w:rsidR="00CE04B7" w:rsidRPr="00BC22F7">
        <w:rPr>
          <w:rFonts w:ascii="Tahoma" w:hAnsi="Tahoma" w:cs="Tahoma"/>
          <w:sz w:val="23"/>
          <w:szCs w:val="23"/>
        </w:rPr>
        <w:t>including</w:t>
      </w:r>
      <w:r w:rsidR="00EA0D4C" w:rsidRPr="00BC22F7">
        <w:rPr>
          <w:rFonts w:ascii="Tahoma" w:hAnsi="Tahoma" w:cs="Tahoma"/>
          <w:sz w:val="23"/>
          <w:szCs w:val="23"/>
        </w:rPr>
        <w:t xml:space="preserve"> </w:t>
      </w:r>
      <w:r w:rsidR="00843868" w:rsidRPr="00BC22F7">
        <w:rPr>
          <w:rFonts w:ascii="Tahoma" w:hAnsi="Tahoma" w:cs="Tahoma"/>
          <w:sz w:val="23"/>
          <w:szCs w:val="23"/>
        </w:rPr>
        <w:t>attraction to public policy-making, commitment to public interest, compassion,</w:t>
      </w:r>
      <w:r w:rsidR="001A529B" w:rsidRPr="00BC22F7">
        <w:rPr>
          <w:rFonts w:ascii="Tahoma" w:hAnsi="Tahoma" w:cs="Tahoma"/>
          <w:sz w:val="23"/>
          <w:szCs w:val="23"/>
        </w:rPr>
        <w:t xml:space="preserve"> and self-sacrifice (</w:t>
      </w:r>
      <w:r w:rsidR="00E4027B" w:rsidRPr="00BC22F7">
        <w:rPr>
          <w:rFonts w:ascii="Tahoma" w:hAnsi="Tahoma" w:cs="Tahoma"/>
          <w:sz w:val="23"/>
          <w:szCs w:val="23"/>
        </w:rPr>
        <w:t>Kim, 2009</w:t>
      </w:r>
      <w:r w:rsidR="00990DC9" w:rsidRPr="00BC22F7">
        <w:rPr>
          <w:rFonts w:ascii="Tahoma" w:hAnsi="Tahoma" w:cs="Tahoma"/>
          <w:sz w:val="23"/>
          <w:szCs w:val="23"/>
        </w:rPr>
        <w:t>; 2011;</w:t>
      </w:r>
      <w:r w:rsidR="00E4027B" w:rsidRPr="00BC22F7">
        <w:rPr>
          <w:rFonts w:ascii="Tahoma" w:hAnsi="Tahoma" w:cs="Tahoma"/>
          <w:sz w:val="23"/>
          <w:szCs w:val="23"/>
        </w:rPr>
        <w:t xml:space="preserve"> </w:t>
      </w:r>
      <w:r w:rsidR="000F47A1" w:rsidRPr="00BC22F7">
        <w:rPr>
          <w:rFonts w:ascii="Tahoma" w:hAnsi="Tahoma" w:cs="Tahoma"/>
          <w:sz w:val="23"/>
          <w:szCs w:val="23"/>
        </w:rPr>
        <w:t>Perry, 1996)</w:t>
      </w:r>
      <w:r w:rsidR="001A529B" w:rsidRPr="00BC22F7">
        <w:rPr>
          <w:rFonts w:ascii="Tahoma" w:hAnsi="Tahoma" w:cs="Tahoma"/>
          <w:sz w:val="23"/>
          <w:szCs w:val="23"/>
        </w:rPr>
        <w:t>.</w:t>
      </w:r>
      <w:r w:rsidR="00CE04B7" w:rsidRPr="00BC22F7">
        <w:rPr>
          <w:rFonts w:ascii="Tahoma" w:hAnsi="Tahoma" w:cs="Tahoma"/>
          <w:sz w:val="23"/>
          <w:szCs w:val="23"/>
        </w:rPr>
        <w:t xml:space="preserve"> Based</w:t>
      </w:r>
      <w:r w:rsidR="0042190D" w:rsidRPr="00BC22F7">
        <w:rPr>
          <w:rFonts w:ascii="Tahoma" w:hAnsi="Tahoma" w:cs="Tahoma"/>
          <w:sz w:val="23"/>
          <w:szCs w:val="23"/>
        </w:rPr>
        <w:t xml:space="preserve"> on these conceptualizations</w:t>
      </w:r>
      <w:r w:rsidR="00CE04B7" w:rsidRPr="00BC22F7">
        <w:rPr>
          <w:rFonts w:ascii="Tahoma" w:hAnsi="Tahoma" w:cs="Tahoma"/>
          <w:sz w:val="23"/>
          <w:szCs w:val="23"/>
        </w:rPr>
        <w:t xml:space="preserve">, several studies have examined the antecedents, outcomes, </w:t>
      </w:r>
      <w:r w:rsidR="00477FEB" w:rsidRPr="00BC22F7">
        <w:rPr>
          <w:rFonts w:ascii="Tahoma" w:hAnsi="Tahoma" w:cs="Tahoma"/>
          <w:sz w:val="23"/>
          <w:szCs w:val="23"/>
        </w:rPr>
        <w:t xml:space="preserve">and </w:t>
      </w:r>
      <w:r w:rsidR="00CE04B7" w:rsidRPr="00BC22F7">
        <w:rPr>
          <w:rFonts w:ascii="Tahoma" w:hAnsi="Tahoma" w:cs="Tahoma"/>
          <w:sz w:val="23"/>
          <w:szCs w:val="23"/>
        </w:rPr>
        <w:t xml:space="preserve">organizational processes associated with public sector attraction in the US. </w:t>
      </w:r>
      <w:r w:rsidR="00A4605E" w:rsidRPr="00BC22F7">
        <w:rPr>
          <w:rFonts w:ascii="Tahoma" w:hAnsi="Tahoma" w:cs="Tahoma"/>
          <w:sz w:val="23"/>
          <w:szCs w:val="23"/>
        </w:rPr>
        <w:t xml:space="preserve">(cf. </w:t>
      </w:r>
      <w:r w:rsidR="00C07D82" w:rsidRPr="00BC22F7">
        <w:rPr>
          <w:rFonts w:ascii="Tahoma" w:hAnsi="Tahoma" w:cs="Tahoma"/>
          <w:sz w:val="23"/>
          <w:szCs w:val="23"/>
        </w:rPr>
        <w:t xml:space="preserve">Carpenter, </w:t>
      </w:r>
      <w:proofErr w:type="spellStart"/>
      <w:r w:rsidR="00C07D82" w:rsidRPr="00BC22F7">
        <w:rPr>
          <w:rFonts w:ascii="Tahoma" w:hAnsi="Tahoma" w:cs="Tahoma"/>
          <w:sz w:val="23"/>
          <w:szCs w:val="23"/>
        </w:rPr>
        <w:t>Dovedrspike</w:t>
      </w:r>
      <w:proofErr w:type="spellEnd"/>
      <w:r w:rsidR="00C07D82" w:rsidRPr="00BC22F7">
        <w:rPr>
          <w:rFonts w:ascii="Tahoma" w:hAnsi="Tahoma" w:cs="Tahoma"/>
          <w:sz w:val="23"/>
          <w:szCs w:val="23"/>
        </w:rPr>
        <w:t xml:space="preserve">, &amp; Miguel, 2012; </w:t>
      </w:r>
      <w:r w:rsidR="00A4605E" w:rsidRPr="00BC22F7">
        <w:rPr>
          <w:rFonts w:ascii="Tahoma" w:hAnsi="Tahoma" w:cs="Tahoma"/>
          <w:sz w:val="23"/>
          <w:szCs w:val="23"/>
        </w:rPr>
        <w:t xml:space="preserve">Kim &amp; </w:t>
      </w:r>
      <w:proofErr w:type="spellStart"/>
      <w:r w:rsidR="00A4605E" w:rsidRPr="00BC22F7">
        <w:rPr>
          <w:rFonts w:ascii="Tahoma" w:hAnsi="Tahoma" w:cs="Tahoma"/>
          <w:sz w:val="23"/>
          <w:szCs w:val="23"/>
        </w:rPr>
        <w:t>Vandenabeele</w:t>
      </w:r>
      <w:proofErr w:type="spellEnd"/>
      <w:r w:rsidR="00A4605E" w:rsidRPr="00BC22F7">
        <w:rPr>
          <w:rFonts w:ascii="Tahoma" w:hAnsi="Tahoma" w:cs="Tahoma"/>
          <w:sz w:val="23"/>
          <w:szCs w:val="23"/>
        </w:rPr>
        <w:t xml:space="preserve">, 2010), </w:t>
      </w:r>
      <w:r w:rsidR="004D74F4" w:rsidRPr="00BC22F7">
        <w:rPr>
          <w:rFonts w:ascii="Tahoma" w:hAnsi="Tahoma" w:cs="Tahoma"/>
          <w:sz w:val="23"/>
          <w:szCs w:val="23"/>
        </w:rPr>
        <w:t>as well as</w:t>
      </w:r>
      <w:r w:rsidR="00A4605E" w:rsidRPr="00BC22F7">
        <w:rPr>
          <w:rFonts w:ascii="Tahoma" w:hAnsi="Tahoma" w:cs="Tahoma"/>
          <w:sz w:val="23"/>
          <w:szCs w:val="23"/>
        </w:rPr>
        <w:t xml:space="preserve"> </w:t>
      </w:r>
      <w:r w:rsidR="00CE04B7" w:rsidRPr="00BC22F7">
        <w:rPr>
          <w:rFonts w:ascii="Tahoma" w:hAnsi="Tahoma" w:cs="Tahoma"/>
          <w:sz w:val="23"/>
          <w:szCs w:val="23"/>
        </w:rPr>
        <w:t xml:space="preserve">in a select few other </w:t>
      </w:r>
      <w:r w:rsidR="00A4605E" w:rsidRPr="00BC22F7">
        <w:rPr>
          <w:rFonts w:ascii="Tahoma" w:hAnsi="Tahoma" w:cs="Tahoma"/>
          <w:sz w:val="23"/>
          <w:szCs w:val="23"/>
        </w:rPr>
        <w:t>countries (</w:t>
      </w:r>
      <w:r w:rsidR="00A8649C" w:rsidRPr="00BC22F7">
        <w:rPr>
          <w:rFonts w:ascii="Tahoma" w:hAnsi="Tahoma" w:cs="Tahoma"/>
          <w:sz w:val="23"/>
          <w:szCs w:val="23"/>
        </w:rPr>
        <w:t xml:space="preserve">Houston, 2011; </w:t>
      </w:r>
      <w:r w:rsidR="00A4605E" w:rsidRPr="00BC22F7">
        <w:rPr>
          <w:rFonts w:ascii="Tahoma" w:hAnsi="Tahoma" w:cs="Tahoma"/>
          <w:sz w:val="23"/>
          <w:szCs w:val="23"/>
        </w:rPr>
        <w:t>Kim et al., 2013</w:t>
      </w:r>
      <w:r w:rsidR="00E233C5" w:rsidRPr="00BC22F7">
        <w:rPr>
          <w:rFonts w:ascii="Tahoma" w:hAnsi="Tahoma" w:cs="Tahoma"/>
          <w:sz w:val="23"/>
          <w:szCs w:val="23"/>
        </w:rPr>
        <w:t xml:space="preserve">; </w:t>
      </w:r>
      <w:proofErr w:type="spellStart"/>
      <w:r w:rsidR="00990DC9" w:rsidRPr="00BC22F7">
        <w:rPr>
          <w:rFonts w:ascii="Tahoma" w:hAnsi="Tahoma" w:cs="Tahoma"/>
          <w:sz w:val="23"/>
          <w:szCs w:val="23"/>
        </w:rPr>
        <w:t>Vandenabeele</w:t>
      </w:r>
      <w:proofErr w:type="spellEnd"/>
      <w:r w:rsidR="00990DC9" w:rsidRPr="00BC22F7">
        <w:rPr>
          <w:rFonts w:ascii="Tahoma" w:hAnsi="Tahoma" w:cs="Tahoma"/>
          <w:sz w:val="23"/>
          <w:szCs w:val="23"/>
        </w:rPr>
        <w:t>, 2007</w:t>
      </w:r>
      <w:r w:rsidR="004D74F4" w:rsidRPr="00BC22F7">
        <w:rPr>
          <w:rFonts w:ascii="Tahoma" w:hAnsi="Tahoma" w:cs="Tahoma"/>
          <w:sz w:val="23"/>
          <w:szCs w:val="23"/>
        </w:rPr>
        <w:t>).</w:t>
      </w:r>
    </w:p>
    <w:p w:rsidR="00A4605E" w:rsidRPr="00BC22F7" w:rsidRDefault="00A4605E" w:rsidP="008A026D">
      <w:pPr>
        <w:spacing w:after="0" w:line="240" w:lineRule="auto"/>
        <w:rPr>
          <w:rFonts w:ascii="Tahoma" w:hAnsi="Tahoma" w:cs="Tahoma"/>
          <w:sz w:val="23"/>
          <w:szCs w:val="23"/>
        </w:rPr>
      </w:pPr>
    </w:p>
    <w:p w:rsidR="00DB2FFF" w:rsidRPr="00BC22F7" w:rsidRDefault="00F27998">
      <w:pPr>
        <w:spacing w:after="0" w:line="240" w:lineRule="auto"/>
        <w:ind w:firstLine="720"/>
        <w:rPr>
          <w:rFonts w:ascii="Tahoma" w:hAnsi="Tahoma" w:cs="Tahoma"/>
          <w:sz w:val="23"/>
          <w:szCs w:val="23"/>
        </w:rPr>
      </w:pPr>
      <w:r w:rsidRPr="00BC22F7">
        <w:rPr>
          <w:rFonts w:ascii="Tahoma" w:hAnsi="Tahoma" w:cs="Tahoma"/>
          <w:sz w:val="23"/>
          <w:szCs w:val="23"/>
        </w:rPr>
        <w:t xml:space="preserve">Although </w:t>
      </w:r>
      <w:r w:rsidR="00865259" w:rsidRPr="00BC22F7">
        <w:rPr>
          <w:rFonts w:ascii="Tahoma" w:hAnsi="Tahoma" w:cs="Tahoma"/>
          <w:sz w:val="23"/>
          <w:szCs w:val="23"/>
        </w:rPr>
        <w:t xml:space="preserve">a </w:t>
      </w:r>
      <w:r w:rsidR="00871F87" w:rsidRPr="00BC22F7">
        <w:rPr>
          <w:rFonts w:ascii="Tahoma" w:hAnsi="Tahoma" w:cs="Tahoma"/>
          <w:sz w:val="23"/>
          <w:szCs w:val="23"/>
        </w:rPr>
        <w:t xml:space="preserve">strong </w:t>
      </w:r>
      <w:r w:rsidRPr="00BC22F7">
        <w:rPr>
          <w:rFonts w:ascii="Tahoma" w:hAnsi="Tahoma" w:cs="Tahoma"/>
          <w:sz w:val="23"/>
          <w:szCs w:val="23"/>
        </w:rPr>
        <w:t xml:space="preserve">research </w:t>
      </w:r>
      <w:r w:rsidR="004D74F4" w:rsidRPr="00BC22F7">
        <w:rPr>
          <w:rFonts w:ascii="Tahoma" w:hAnsi="Tahoma" w:cs="Tahoma"/>
          <w:sz w:val="23"/>
          <w:szCs w:val="23"/>
        </w:rPr>
        <w:t>foundation</w:t>
      </w:r>
      <w:r w:rsidR="00871F87" w:rsidRPr="00BC22F7">
        <w:rPr>
          <w:rFonts w:ascii="Tahoma" w:hAnsi="Tahoma" w:cs="Tahoma"/>
          <w:sz w:val="23"/>
          <w:szCs w:val="23"/>
        </w:rPr>
        <w:t xml:space="preserve"> </w:t>
      </w:r>
      <w:r w:rsidRPr="00BC22F7">
        <w:rPr>
          <w:rFonts w:ascii="Tahoma" w:hAnsi="Tahoma" w:cs="Tahoma"/>
          <w:sz w:val="23"/>
          <w:szCs w:val="23"/>
        </w:rPr>
        <w:t xml:space="preserve">has been established in this domain, </w:t>
      </w:r>
      <w:r w:rsidR="00865259" w:rsidRPr="00BC22F7">
        <w:rPr>
          <w:rFonts w:ascii="Tahoma" w:hAnsi="Tahoma" w:cs="Tahoma"/>
          <w:sz w:val="23"/>
          <w:szCs w:val="23"/>
        </w:rPr>
        <w:t xml:space="preserve">the </w:t>
      </w:r>
      <w:r w:rsidR="00871F87" w:rsidRPr="00BC22F7">
        <w:rPr>
          <w:rFonts w:ascii="Tahoma" w:hAnsi="Tahoma" w:cs="Tahoma"/>
          <w:sz w:val="23"/>
          <w:szCs w:val="23"/>
        </w:rPr>
        <w:t xml:space="preserve">literature on public service </w:t>
      </w:r>
      <w:r w:rsidR="00865259" w:rsidRPr="00BC22F7">
        <w:rPr>
          <w:rFonts w:ascii="Tahoma" w:hAnsi="Tahoma" w:cs="Tahoma"/>
          <w:sz w:val="23"/>
          <w:szCs w:val="23"/>
        </w:rPr>
        <w:t xml:space="preserve">attraction and </w:t>
      </w:r>
      <w:r w:rsidR="00871F87" w:rsidRPr="00BC22F7">
        <w:rPr>
          <w:rFonts w:ascii="Tahoma" w:hAnsi="Tahoma" w:cs="Tahoma"/>
          <w:sz w:val="23"/>
          <w:szCs w:val="23"/>
        </w:rPr>
        <w:t xml:space="preserve">motivation has </w:t>
      </w:r>
      <w:r w:rsidRPr="00BC22F7">
        <w:rPr>
          <w:rFonts w:ascii="Tahoma" w:hAnsi="Tahoma" w:cs="Tahoma"/>
          <w:sz w:val="23"/>
          <w:szCs w:val="23"/>
        </w:rPr>
        <w:t xml:space="preserve">largely focused on the intrinsic aspects of public service, </w:t>
      </w:r>
      <w:r w:rsidR="005248EC" w:rsidRPr="00BC22F7">
        <w:rPr>
          <w:rFonts w:ascii="Tahoma" w:hAnsi="Tahoma" w:cs="Tahoma"/>
          <w:sz w:val="23"/>
          <w:szCs w:val="23"/>
        </w:rPr>
        <w:t xml:space="preserve">while </w:t>
      </w:r>
      <w:r w:rsidR="0042190D" w:rsidRPr="00BC22F7">
        <w:rPr>
          <w:rFonts w:ascii="Tahoma" w:hAnsi="Tahoma" w:cs="Tahoma"/>
          <w:sz w:val="23"/>
          <w:szCs w:val="23"/>
        </w:rPr>
        <w:t xml:space="preserve">perhaps </w:t>
      </w:r>
      <w:r w:rsidRPr="00BC22F7">
        <w:rPr>
          <w:rFonts w:ascii="Tahoma" w:hAnsi="Tahoma" w:cs="Tahoma"/>
          <w:sz w:val="23"/>
          <w:szCs w:val="23"/>
        </w:rPr>
        <w:t>ignoring other aspects of work.</w:t>
      </w:r>
      <w:r w:rsidR="00A4605E" w:rsidRPr="00BC22F7">
        <w:rPr>
          <w:rFonts w:ascii="Tahoma" w:hAnsi="Tahoma" w:cs="Tahoma"/>
          <w:sz w:val="23"/>
          <w:szCs w:val="23"/>
        </w:rPr>
        <w:t xml:space="preserve"> For example, </w:t>
      </w:r>
      <w:r w:rsidR="00865259" w:rsidRPr="00BC22F7">
        <w:rPr>
          <w:rFonts w:ascii="Tahoma" w:hAnsi="Tahoma" w:cs="Tahoma"/>
          <w:sz w:val="23"/>
          <w:szCs w:val="23"/>
        </w:rPr>
        <w:t xml:space="preserve">studies in the research literature on work </w:t>
      </w:r>
      <w:r w:rsidR="00A4605E" w:rsidRPr="00BC22F7">
        <w:rPr>
          <w:rFonts w:ascii="Tahoma" w:hAnsi="Tahoma" w:cs="Tahoma"/>
          <w:sz w:val="23"/>
          <w:szCs w:val="23"/>
        </w:rPr>
        <w:t>career</w:t>
      </w:r>
      <w:r w:rsidR="00865259" w:rsidRPr="00BC22F7">
        <w:rPr>
          <w:rFonts w:ascii="Tahoma" w:hAnsi="Tahoma" w:cs="Tahoma"/>
          <w:sz w:val="23"/>
          <w:szCs w:val="23"/>
        </w:rPr>
        <w:t>s</w:t>
      </w:r>
      <w:r w:rsidR="00A4605E" w:rsidRPr="00BC22F7">
        <w:rPr>
          <w:rFonts w:ascii="Tahoma" w:hAnsi="Tahoma" w:cs="Tahoma"/>
          <w:sz w:val="23"/>
          <w:szCs w:val="23"/>
        </w:rPr>
        <w:t xml:space="preserve"> suggest that individuals experience work as </w:t>
      </w:r>
      <w:r w:rsidR="00DD6F8B" w:rsidRPr="00BC22F7">
        <w:rPr>
          <w:rFonts w:ascii="Tahoma" w:hAnsi="Tahoma" w:cs="Tahoma"/>
          <w:sz w:val="23"/>
          <w:szCs w:val="23"/>
        </w:rPr>
        <w:t xml:space="preserve">either </w:t>
      </w:r>
      <w:r w:rsidR="0038174B" w:rsidRPr="00BC22F7">
        <w:rPr>
          <w:rFonts w:ascii="Tahoma" w:hAnsi="Tahoma" w:cs="Tahoma"/>
          <w:sz w:val="23"/>
          <w:szCs w:val="23"/>
        </w:rPr>
        <w:t>a</w:t>
      </w:r>
      <w:r w:rsidR="00A4605E" w:rsidRPr="00BC22F7">
        <w:rPr>
          <w:rFonts w:ascii="Tahoma" w:hAnsi="Tahoma" w:cs="Tahoma"/>
          <w:i/>
          <w:sz w:val="23"/>
          <w:szCs w:val="23"/>
        </w:rPr>
        <w:t xml:space="preserve"> job,</w:t>
      </w:r>
      <w:r w:rsidR="0038174B" w:rsidRPr="00BC22F7">
        <w:rPr>
          <w:rFonts w:ascii="Tahoma" w:hAnsi="Tahoma" w:cs="Tahoma"/>
          <w:i/>
          <w:sz w:val="23"/>
          <w:szCs w:val="23"/>
        </w:rPr>
        <w:t xml:space="preserve"> </w:t>
      </w:r>
      <w:r w:rsidR="0038174B" w:rsidRPr="00BC22F7">
        <w:rPr>
          <w:rFonts w:ascii="Tahoma" w:hAnsi="Tahoma" w:cs="Tahoma"/>
          <w:sz w:val="23"/>
          <w:szCs w:val="23"/>
        </w:rPr>
        <w:t>a</w:t>
      </w:r>
      <w:r w:rsidR="00A4605E" w:rsidRPr="00BC22F7">
        <w:rPr>
          <w:rFonts w:ascii="Tahoma" w:hAnsi="Tahoma" w:cs="Tahoma"/>
          <w:i/>
          <w:sz w:val="23"/>
          <w:szCs w:val="23"/>
        </w:rPr>
        <w:t xml:space="preserve"> career, </w:t>
      </w:r>
      <w:r w:rsidR="00A4605E" w:rsidRPr="00BC22F7">
        <w:rPr>
          <w:rFonts w:ascii="Tahoma" w:hAnsi="Tahoma" w:cs="Tahoma"/>
          <w:sz w:val="23"/>
          <w:szCs w:val="23"/>
        </w:rPr>
        <w:t>or</w:t>
      </w:r>
      <w:r w:rsidR="0038174B" w:rsidRPr="00BC22F7">
        <w:rPr>
          <w:rFonts w:ascii="Tahoma" w:hAnsi="Tahoma" w:cs="Tahoma"/>
          <w:sz w:val="23"/>
          <w:szCs w:val="23"/>
        </w:rPr>
        <w:t xml:space="preserve"> a </w:t>
      </w:r>
      <w:r w:rsidR="00A4605E" w:rsidRPr="00BC22F7">
        <w:rPr>
          <w:rFonts w:ascii="Tahoma" w:hAnsi="Tahoma" w:cs="Tahoma"/>
          <w:i/>
          <w:sz w:val="23"/>
          <w:szCs w:val="23"/>
        </w:rPr>
        <w:t>calling</w:t>
      </w:r>
      <w:r w:rsidR="00A4605E" w:rsidRPr="00BC22F7">
        <w:rPr>
          <w:rFonts w:ascii="Tahoma" w:hAnsi="Tahoma" w:cs="Tahoma"/>
          <w:sz w:val="23"/>
          <w:szCs w:val="23"/>
        </w:rPr>
        <w:t xml:space="preserve"> (cf. </w:t>
      </w:r>
      <w:proofErr w:type="spellStart"/>
      <w:r w:rsidR="00A4605E" w:rsidRPr="00BC22F7">
        <w:rPr>
          <w:rFonts w:ascii="Tahoma" w:hAnsi="Tahoma" w:cs="Tahoma"/>
          <w:sz w:val="23"/>
          <w:szCs w:val="23"/>
        </w:rPr>
        <w:t>Wrzesniewski</w:t>
      </w:r>
      <w:proofErr w:type="spellEnd"/>
      <w:r w:rsidR="00A4605E" w:rsidRPr="00BC22F7">
        <w:rPr>
          <w:rFonts w:ascii="Tahoma" w:hAnsi="Tahoma" w:cs="Tahoma"/>
          <w:sz w:val="23"/>
          <w:szCs w:val="23"/>
        </w:rPr>
        <w:t xml:space="preserve">, 2002). </w:t>
      </w:r>
      <w:r w:rsidR="0038174B" w:rsidRPr="00BC22F7">
        <w:rPr>
          <w:rFonts w:ascii="Tahoma" w:hAnsi="Tahoma" w:cs="Tahoma"/>
          <w:sz w:val="23"/>
          <w:szCs w:val="23"/>
        </w:rPr>
        <w:t xml:space="preserve">Individuals who view their work as a </w:t>
      </w:r>
      <w:r w:rsidR="0038174B" w:rsidRPr="00BC22F7">
        <w:rPr>
          <w:rFonts w:ascii="Tahoma" w:hAnsi="Tahoma" w:cs="Tahoma"/>
          <w:i/>
          <w:sz w:val="23"/>
          <w:szCs w:val="23"/>
        </w:rPr>
        <w:t>job</w:t>
      </w:r>
      <w:r w:rsidR="0038174B" w:rsidRPr="00BC22F7">
        <w:rPr>
          <w:rFonts w:ascii="Tahoma" w:hAnsi="Tahoma" w:cs="Tahoma"/>
          <w:sz w:val="23"/>
          <w:szCs w:val="23"/>
        </w:rPr>
        <w:t xml:space="preserve"> primarily seek out monetary benefits (i.e., an income); those who view their work as a </w:t>
      </w:r>
      <w:r w:rsidR="0038174B" w:rsidRPr="00BC22F7">
        <w:rPr>
          <w:rFonts w:ascii="Tahoma" w:hAnsi="Tahoma" w:cs="Tahoma"/>
          <w:i/>
          <w:sz w:val="23"/>
          <w:szCs w:val="23"/>
        </w:rPr>
        <w:t>career</w:t>
      </w:r>
      <w:r w:rsidR="0038174B" w:rsidRPr="00BC22F7">
        <w:rPr>
          <w:rFonts w:ascii="Tahoma" w:hAnsi="Tahoma" w:cs="Tahoma"/>
          <w:sz w:val="23"/>
          <w:szCs w:val="23"/>
        </w:rPr>
        <w:t xml:space="preserve"> seek out advancement, status, power</w:t>
      </w:r>
      <w:r w:rsidR="00865259" w:rsidRPr="00BC22F7">
        <w:rPr>
          <w:rFonts w:ascii="Tahoma" w:hAnsi="Tahoma" w:cs="Tahoma"/>
          <w:sz w:val="23"/>
          <w:szCs w:val="23"/>
        </w:rPr>
        <w:t>,</w:t>
      </w:r>
      <w:r w:rsidR="0038174B" w:rsidRPr="00BC22F7">
        <w:rPr>
          <w:rFonts w:ascii="Tahoma" w:hAnsi="Tahoma" w:cs="Tahoma"/>
          <w:sz w:val="23"/>
          <w:szCs w:val="23"/>
        </w:rPr>
        <w:t xml:space="preserve"> and prestige</w:t>
      </w:r>
      <w:r w:rsidR="00F51830" w:rsidRPr="00BC22F7">
        <w:rPr>
          <w:rFonts w:ascii="Tahoma" w:hAnsi="Tahoma" w:cs="Tahoma"/>
          <w:sz w:val="23"/>
          <w:szCs w:val="23"/>
        </w:rPr>
        <w:t xml:space="preserve"> in addition to monetary benefits; </w:t>
      </w:r>
      <w:r w:rsidR="00865259" w:rsidRPr="00BC22F7">
        <w:rPr>
          <w:rFonts w:ascii="Tahoma" w:hAnsi="Tahoma" w:cs="Tahoma"/>
          <w:sz w:val="23"/>
          <w:szCs w:val="23"/>
        </w:rPr>
        <w:t>finally</w:t>
      </w:r>
      <w:r w:rsidR="0042190D" w:rsidRPr="00BC22F7">
        <w:rPr>
          <w:rFonts w:ascii="Tahoma" w:hAnsi="Tahoma" w:cs="Tahoma"/>
          <w:sz w:val="23"/>
          <w:szCs w:val="23"/>
        </w:rPr>
        <w:t>,</w:t>
      </w:r>
      <w:r w:rsidR="00865259" w:rsidRPr="00BC22F7">
        <w:rPr>
          <w:rFonts w:ascii="Tahoma" w:hAnsi="Tahoma" w:cs="Tahoma"/>
          <w:sz w:val="23"/>
          <w:szCs w:val="23"/>
        </w:rPr>
        <w:t xml:space="preserve"> </w:t>
      </w:r>
      <w:r w:rsidR="0038174B" w:rsidRPr="00BC22F7">
        <w:rPr>
          <w:rFonts w:ascii="Tahoma" w:hAnsi="Tahoma" w:cs="Tahoma"/>
          <w:sz w:val="23"/>
          <w:szCs w:val="23"/>
        </w:rPr>
        <w:t xml:space="preserve">those who consider their work a </w:t>
      </w:r>
      <w:r w:rsidR="0038174B" w:rsidRPr="00BC22F7">
        <w:rPr>
          <w:rFonts w:ascii="Tahoma" w:hAnsi="Tahoma" w:cs="Tahoma"/>
          <w:i/>
          <w:sz w:val="23"/>
          <w:szCs w:val="23"/>
        </w:rPr>
        <w:t>calling</w:t>
      </w:r>
      <w:r w:rsidR="0038174B" w:rsidRPr="00BC22F7">
        <w:rPr>
          <w:rFonts w:ascii="Tahoma" w:hAnsi="Tahoma" w:cs="Tahoma"/>
          <w:sz w:val="23"/>
          <w:szCs w:val="23"/>
        </w:rPr>
        <w:t xml:space="preserve"> </w:t>
      </w:r>
      <w:r w:rsidR="00865259" w:rsidRPr="00BC22F7">
        <w:rPr>
          <w:rFonts w:ascii="Tahoma" w:hAnsi="Tahoma" w:cs="Tahoma"/>
          <w:sz w:val="23"/>
          <w:szCs w:val="23"/>
        </w:rPr>
        <w:t xml:space="preserve">seek out </w:t>
      </w:r>
      <w:r w:rsidR="0038174B" w:rsidRPr="00BC22F7">
        <w:rPr>
          <w:rFonts w:ascii="Tahoma" w:hAnsi="Tahoma" w:cs="Tahoma"/>
          <w:sz w:val="23"/>
          <w:szCs w:val="23"/>
        </w:rPr>
        <w:t>personal fulfi</w:t>
      </w:r>
      <w:r w:rsidR="004D74F4" w:rsidRPr="00BC22F7">
        <w:rPr>
          <w:rFonts w:ascii="Tahoma" w:hAnsi="Tahoma" w:cs="Tahoma"/>
          <w:sz w:val="23"/>
          <w:szCs w:val="23"/>
        </w:rPr>
        <w:t>l</w:t>
      </w:r>
      <w:r w:rsidR="0038174B" w:rsidRPr="00BC22F7">
        <w:rPr>
          <w:rFonts w:ascii="Tahoma" w:hAnsi="Tahoma" w:cs="Tahoma"/>
          <w:sz w:val="23"/>
          <w:szCs w:val="23"/>
        </w:rPr>
        <w:t xml:space="preserve">lment </w:t>
      </w:r>
      <w:r w:rsidR="00865259" w:rsidRPr="00BC22F7">
        <w:rPr>
          <w:rFonts w:ascii="Tahoma" w:hAnsi="Tahoma" w:cs="Tahoma"/>
          <w:sz w:val="23"/>
          <w:szCs w:val="23"/>
        </w:rPr>
        <w:t xml:space="preserve">from their jobs rather </w:t>
      </w:r>
      <w:r w:rsidR="0042190D" w:rsidRPr="00BC22F7">
        <w:rPr>
          <w:rFonts w:ascii="Tahoma" w:hAnsi="Tahoma" w:cs="Tahoma"/>
          <w:sz w:val="23"/>
          <w:szCs w:val="23"/>
        </w:rPr>
        <w:t>than</w:t>
      </w:r>
      <w:r w:rsidR="00865259" w:rsidRPr="00BC22F7">
        <w:rPr>
          <w:rFonts w:ascii="Tahoma" w:hAnsi="Tahoma" w:cs="Tahoma"/>
          <w:sz w:val="23"/>
          <w:szCs w:val="23"/>
        </w:rPr>
        <w:t xml:space="preserve"> </w:t>
      </w:r>
      <w:r w:rsidR="0038174B" w:rsidRPr="00BC22F7">
        <w:rPr>
          <w:rFonts w:ascii="Tahoma" w:hAnsi="Tahoma" w:cs="Tahoma"/>
          <w:sz w:val="23"/>
          <w:szCs w:val="23"/>
        </w:rPr>
        <w:t xml:space="preserve">monetary benefits </w:t>
      </w:r>
      <w:r w:rsidR="00F51830" w:rsidRPr="00BC22F7">
        <w:rPr>
          <w:rFonts w:ascii="Tahoma" w:hAnsi="Tahoma" w:cs="Tahoma"/>
          <w:sz w:val="23"/>
          <w:szCs w:val="23"/>
        </w:rPr>
        <w:t>and/</w:t>
      </w:r>
      <w:r w:rsidR="0038174B" w:rsidRPr="00BC22F7">
        <w:rPr>
          <w:rFonts w:ascii="Tahoma" w:hAnsi="Tahoma" w:cs="Tahoma"/>
          <w:sz w:val="23"/>
          <w:szCs w:val="23"/>
        </w:rPr>
        <w:t>or career advancement.</w:t>
      </w:r>
      <w:r w:rsidR="0042190D" w:rsidRPr="00BC22F7">
        <w:rPr>
          <w:rFonts w:ascii="Tahoma" w:hAnsi="Tahoma" w:cs="Tahoma"/>
          <w:sz w:val="23"/>
          <w:szCs w:val="23"/>
        </w:rPr>
        <w:t xml:space="preserve"> Given the strong altruistic and pro-social component underlying </w:t>
      </w:r>
      <w:r w:rsidR="00EA5C6B" w:rsidRPr="00BC22F7">
        <w:rPr>
          <w:rFonts w:ascii="Tahoma" w:hAnsi="Tahoma" w:cs="Tahoma"/>
          <w:sz w:val="23"/>
          <w:szCs w:val="23"/>
        </w:rPr>
        <w:t>conventional</w:t>
      </w:r>
      <w:r w:rsidR="0042190D" w:rsidRPr="00BC22F7">
        <w:rPr>
          <w:rFonts w:ascii="Tahoma" w:hAnsi="Tahoma" w:cs="Tahoma"/>
          <w:sz w:val="23"/>
          <w:szCs w:val="23"/>
        </w:rPr>
        <w:t xml:space="preserve"> </w:t>
      </w:r>
      <w:r w:rsidR="00EA5C6B" w:rsidRPr="00BC22F7">
        <w:rPr>
          <w:rFonts w:ascii="Tahoma" w:hAnsi="Tahoma" w:cs="Tahoma"/>
          <w:sz w:val="23"/>
          <w:szCs w:val="23"/>
        </w:rPr>
        <w:t xml:space="preserve">conceptualizations and </w:t>
      </w:r>
      <w:r w:rsidR="0042190D" w:rsidRPr="00BC22F7">
        <w:rPr>
          <w:rFonts w:ascii="Tahoma" w:hAnsi="Tahoma" w:cs="Tahoma"/>
          <w:sz w:val="23"/>
          <w:szCs w:val="23"/>
        </w:rPr>
        <w:t xml:space="preserve">measures of public service motivation (Perry, </w:t>
      </w:r>
      <w:proofErr w:type="spellStart"/>
      <w:r w:rsidR="0042190D" w:rsidRPr="00BC22F7">
        <w:rPr>
          <w:rFonts w:ascii="Tahoma" w:hAnsi="Tahoma" w:cs="Tahoma"/>
          <w:sz w:val="23"/>
          <w:szCs w:val="23"/>
        </w:rPr>
        <w:t>Hondeghem</w:t>
      </w:r>
      <w:proofErr w:type="spellEnd"/>
      <w:r w:rsidR="0042190D" w:rsidRPr="00BC22F7">
        <w:rPr>
          <w:rFonts w:ascii="Tahoma" w:hAnsi="Tahoma" w:cs="Tahoma"/>
          <w:sz w:val="23"/>
          <w:szCs w:val="23"/>
        </w:rPr>
        <w:t xml:space="preserve">, &amp; Wise, 2010; </w:t>
      </w:r>
      <w:proofErr w:type="spellStart"/>
      <w:r w:rsidR="0042190D" w:rsidRPr="00BC22F7">
        <w:rPr>
          <w:rFonts w:ascii="Tahoma" w:hAnsi="Tahoma" w:cs="Tahoma"/>
          <w:sz w:val="23"/>
          <w:szCs w:val="23"/>
        </w:rPr>
        <w:t>Vandenabeele</w:t>
      </w:r>
      <w:proofErr w:type="spellEnd"/>
      <w:r w:rsidR="0042190D" w:rsidRPr="00BC22F7">
        <w:rPr>
          <w:rFonts w:ascii="Tahoma" w:hAnsi="Tahoma" w:cs="Tahoma"/>
          <w:sz w:val="23"/>
          <w:szCs w:val="23"/>
        </w:rPr>
        <w:t xml:space="preserve">, 2008), </w:t>
      </w:r>
      <w:r w:rsidR="00865259" w:rsidRPr="00BC22F7">
        <w:rPr>
          <w:rFonts w:ascii="Tahoma" w:hAnsi="Tahoma" w:cs="Tahoma"/>
          <w:sz w:val="23"/>
          <w:szCs w:val="23"/>
        </w:rPr>
        <w:t>the literature on public service</w:t>
      </w:r>
      <w:r w:rsidR="0042190D" w:rsidRPr="00BC22F7">
        <w:rPr>
          <w:rFonts w:ascii="Tahoma" w:hAnsi="Tahoma" w:cs="Tahoma"/>
          <w:sz w:val="23"/>
          <w:szCs w:val="23"/>
        </w:rPr>
        <w:t xml:space="preserve"> motivation has largely assessed</w:t>
      </w:r>
      <w:r w:rsidR="00865259" w:rsidRPr="00BC22F7">
        <w:rPr>
          <w:rFonts w:ascii="Tahoma" w:hAnsi="Tahoma" w:cs="Tahoma"/>
          <w:sz w:val="23"/>
          <w:szCs w:val="23"/>
        </w:rPr>
        <w:t xml:space="preserve"> individuals’ attraction to the public service as </w:t>
      </w:r>
      <w:r w:rsidR="0038174B" w:rsidRPr="00BC22F7">
        <w:rPr>
          <w:rFonts w:ascii="Tahoma" w:hAnsi="Tahoma" w:cs="Tahoma"/>
          <w:sz w:val="23"/>
          <w:szCs w:val="23"/>
        </w:rPr>
        <w:t xml:space="preserve">a </w:t>
      </w:r>
      <w:r w:rsidR="0038174B" w:rsidRPr="00BC22F7">
        <w:rPr>
          <w:rFonts w:ascii="Tahoma" w:hAnsi="Tahoma" w:cs="Tahoma"/>
          <w:i/>
          <w:sz w:val="23"/>
          <w:szCs w:val="23"/>
        </w:rPr>
        <w:t>calling</w:t>
      </w:r>
      <w:r w:rsidR="0038174B" w:rsidRPr="00BC22F7">
        <w:rPr>
          <w:rFonts w:ascii="Tahoma" w:hAnsi="Tahoma" w:cs="Tahoma"/>
          <w:sz w:val="23"/>
          <w:szCs w:val="23"/>
        </w:rPr>
        <w:t xml:space="preserve"> </w:t>
      </w:r>
      <w:r w:rsidR="00F51830" w:rsidRPr="00BC22F7">
        <w:rPr>
          <w:rFonts w:ascii="Tahoma" w:hAnsi="Tahoma" w:cs="Tahoma"/>
          <w:sz w:val="23"/>
          <w:szCs w:val="23"/>
        </w:rPr>
        <w:t>(“government calling”)</w:t>
      </w:r>
      <w:r w:rsidR="0042190D" w:rsidRPr="00BC22F7">
        <w:rPr>
          <w:rFonts w:ascii="Tahoma" w:hAnsi="Tahoma" w:cs="Tahoma"/>
          <w:sz w:val="23"/>
          <w:szCs w:val="23"/>
        </w:rPr>
        <w:t xml:space="preserve">. </w:t>
      </w:r>
      <w:r w:rsidR="00EA5C6B" w:rsidRPr="00BC22F7">
        <w:rPr>
          <w:rFonts w:ascii="Tahoma" w:hAnsi="Tahoma" w:cs="Tahoma"/>
          <w:sz w:val="23"/>
          <w:szCs w:val="23"/>
        </w:rPr>
        <w:t xml:space="preserve">However, it is important to note that </w:t>
      </w:r>
      <w:r w:rsidR="00F51830" w:rsidRPr="00BC22F7">
        <w:rPr>
          <w:rFonts w:ascii="Tahoma" w:hAnsi="Tahoma" w:cs="Tahoma"/>
          <w:sz w:val="23"/>
          <w:szCs w:val="23"/>
        </w:rPr>
        <w:t>r</w:t>
      </w:r>
      <w:r w:rsidR="00BD29CF" w:rsidRPr="00BC22F7">
        <w:rPr>
          <w:rFonts w:ascii="Tahoma" w:hAnsi="Tahoma" w:cs="Tahoma"/>
          <w:sz w:val="23"/>
          <w:szCs w:val="23"/>
        </w:rPr>
        <w:t xml:space="preserve">esearch on </w:t>
      </w:r>
      <w:r w:rsidR="005248EC" w:rsidRPr="00BC22F7">
        <w:rPr>
          <w:rFonts w:ascii="Tahoma" w:hAnsi="Tahoma" w:cs="Tahoma"/>
          <w:sz w:val="23"/>
          <w:szCs w:val="23"/>
        </w:rPr>
        <w:t xml:space="preserve">career choice in the </w:t>
      </w:r>
      <w:r w:rsidR="00BD29CF" w:rsidRPr="00BC22F7">
        <w:rPr>
          <w:rFonts w:ascii="Tahoma" w:hAnsi="Tahoma" w:cs="Tahoma"/>
          <w:sz w:val="23"/>
          <w:szCs w:val="23"/>
        </w:rPr>
        <w:t xml:space="preserve">public sector has </w:t>
      </w:r>
      <w:r w:rsidR="00EA5C6B" w:rsidRPr="00BC22F7">
        <w:rPr>
          <w:rFonts w:ascii="Tahoma" w:hAnsi="Tahoma" w:cs="Tahoma"/>
          <w:sz w:val="23"/>
          <w:szCs w:val="23"/>
        </w:rPr>
        <w:t xml:space="preserve">also recently </w:t>
      </w:r>
      <w:r w:rsidR="00D52B8C" w:rsidRPr="00BC22F7">
        <w:rPr>
          <w:rFonts w:ascii="Tahoma" w:hAnsi="Tahoma" w:cs="Tahoma"/>
          <w:sz w:val="23"/>
          <w:szCs w:val="23"/>
        </w:rPr>
        <w:t xml:space="preserve">emphasized </w:t>
      </w:r>
      <w:r w:rsidR="00EA5C6B" w:rsidRPr="00BC22F7">
        <w:rPr>
          <w:rFonts w:ascii="Tahoma" w:hAnsi="Tahoma" w:cs="Tahoma"/>
          <w:sz w:val="23"/>
          <w:szCs w:val="23"/>
        </w:rPr>
        <w:t xml:space="preserve">conceptualizing public sector employment </w:t>
      </w:r>
      <w:r w:rsidR="005A00C7" w:rsidRPr="00BC22F7">
        <w:rPr>
          <w:rFonts w:ascii="Tahoma" w:hAnsi="Tahoma" w:cs="Tahoma"/>
          <w:sz w:val="23"/>
          <w:szCs w:val="23"/>
        </w:rPr>
        <w:t>from the perspective of</w:t>
      </w:r>
      <w:r w:rsidR="00EA5C6B" w:rsidRPr="00BC22F7">
        <w:rPr>
          <w:rFonts w:ascii="Tahoma" w:hAnsi="Tahoma" w:cs="Tahoma"/>
          <w:sz w:val="23"/>
          <w:szCs w:val="23"/>
        </w:rPr>
        <w:t xml:space="preserve"> </w:t>
      </w:r>
      <w:r w:rsidR="005A00C7" w:rsidRPr="00BC22F7">
        <w:rPr>
          <w:rFonts w:ascii="Tahoma" w:hAnsi="Tahoma" w:cs="Tahoma"/>
          <w:sz w:val="23"/>
          <w:szCs w:val="23"/>
        </w:rPr>
        <w:t>“</w:t>
      </w:r>
      <w:r w:rsidR="00EA5C6B" w:rsidRPr="00BC22F7">
        <w:rPr>
          <w:rFonts w:ascii="Tahoma" w:hAnsi="Tahoma" w:cs="Tahoma"/>
          <w:sz w:val="23"/>
          <w:szCs w:val="23"/>
        </w:rPr>
        <w:t>jobs</w:t>
      </w:r>
      <w:r w:rsidR="005A00C7" w:rsidRPr="00BC22F7">
        <w:rPr>
          <w:rFonts w:ascii="Tahoma" w:hAnsi="Tahoma" w:cs="Tahoma"/>
          <w:sz w:val="23"/>
          <w:szCs w:val="23"/>
        </w:rPr>
        <w:t>”</w:t>
      </w:r>
      <w:r w:rsidR="00EA5C6B" w:rsidRPr="00BC22F7">
        <w:rPr>
          <w:rFonts w:ascii="Tahoma" w:hAnsi="Tahoma" w:cs="Tahoma"/>
          <w:sz w:val="23"/>
          <w:szCs w:val="23"/>
        </w:rPr>
        <w:t xml:space="preserve"> or </w:t>
      </w:r>
      <w:r w:rsidR="005A00C7" w:rsidRPr="00BC22F7">
        <w:rPr>
          <w:rFonts w:ascii="Tahoma" w:hAnsi="Tahoma" w:cs="Tahoma"/>
          <w:sz w:val="23"/>
          <w:szCs w:val="23"/>
        </w:rPr>
        <w:t>“</w:t>
      </w:r>
      <w:r w:rsidR="00EA5C6B" w:rsidRPr="00BC22F7">
        <w:rPr>
          <w:rFonts w:ascii="Tahoma" w:hAnsi="Tahoma" w:cs="Tahoma"/>
          <w:sz w:val="23"/>
          <w:szCs w:val="23"/>
        </w:rPr>
        <w:t>careers</w:t>
      </w:r>
      <w:r w:rsidR="00AE011E" w:rsidRPr="00BC22F7">
        <w:rPr>
          <w:rFonts w:ascii="Tahoma" w:hAnsi="Tahoma" w:cs="Tahoma"/>
          <w:sz w:val="23"/>
          <w:szCs w:val="23"/>
        </w:rPr>
        <w:t>,</w:t>
      </w:r>
      <w:r w:rsidR="005A00C7" w:rsidRPr="00BC22F7">
        <w:rPr>
          <w:rFonts w:ascii="Tahoma" w:hAnsi="Tahoma" w:cs="Tahoma"/>
          <w:sz w:val="23"/>
          <w:szCs w:val="23"/>
        </w:rPr>
        <w:t>”</w:t>
      </w:r>
      <w:r w:rsidR="00EA5C6B" w:rsidRPr="00BC22F7">
        <w:rPr>
          <w:rFonts w:ascii="Tahoma" w:hAnsi="Tahoma" w:cs="Tahoma"/>
          <w:sz w:val="23"/>
          <w:szCs w:val="23"/>
        </w:rPr>
        <w:t xml:space="preserve"> highlighting </w:t>
      </w:r>
      <w:r w:rsidR="00D52B8C" w:rsidRPr="00BC22F7">
        <w:rPr>
          <w:rFonts w:ascii="Tahoma" w:hAnsi="Tahoma" w:cs="Tahoma"/>
          <w:sz w:val="23"/>
          <w:szCs w:val="23"/>
        </w:rPr>
        <w:t xml:space="preserve">the importance of </w:t>
      </w:r>
      <w:r w:rsidR="00EA5C6B" w:rsidRPr="00BC22F7">
        <w:rPr>
          <w:rFonts w:ascii="Tahoma" w:hAnsi="Tahoma" w:cs="Tahoma"/>
          <w:sz w:val="23"/>
          <w:szCs w:val="23"/>
        </w:rPr>
        <w:t xml:space="preserve">specific </w:t>
      </w:r>
      <w:r w:rsidR="00BD29CF" w:rsidRPr="00BC22F7">
        <w:rPr>
          <w:rFonts w:ascii="Tahoma" w:hAnsi="Tahoma" w:cs="Tahoma"/>
          <w:sz w:val="23"/>
          <w:szCs w:val="23"/>
        </w:rPr>
        <w:t xml:space="preserve">extrinsic </w:t>
      </w:r>
      <w:r w:rsidR="0040559C" w:rsidRPr="00BC22F7">
        <w:rPr>
          <w:rFonts w:ascii="Tahoma" w:hAnsi="Tahoma" w:cs="Tahoma"/>
          <w:sz w:val="23"/>
          <w:szCs w:val="23"/>
        </w:rPr>
        <w:t xml:space="preserve">rewards </w:t>
      </w:r>
      <w:r w:rsidR="005A00C7" w:rsidRPr="00BC22F7">
        <w:rPr>
          <w:rFonts w:ascii="Tahoma" w:hAnsi="Tahoma" w:cs="Tahoma"/>
          <w:sz w:val="23"/>
          <w:szCs w:val="23"/>
        </w:rPr>
        <w:t xml:space="preserve">for workers </w:t>
      </w:r>
      <w:r w:rsidR="005248EC" w:rsidRPr="00BC22F7">
        <w:rPr>
          <w:rFonts w:ascii="Tahoma" w:hAnsi="Tahoma" w:cs="Tahoma"/>
          <w:sz w:val="23"/>
          <w:szCs w:val="23"/>
        </w:rPr>
        <w:t xml:space="preserve">such as </w:t>
      </w:r>
      <w:r w:rsidR="0040559C" w:rsidRPr="00BC22F7">
        <w:rPr>
          <w:rFonts w:ascii="Tahoma" w:hAnsi="Tahoma" w:cs="Tahoma"/>
          <w:sz w:val="23"/>
          <w:szCs w:val="23"/>
        </w:rPr>
        <w:t xml:space="preserve">better </w:t>
      </w:r>
      <w:r w:rsidR="005248EC" w:rsidRPr="00BC22F7">
        <w:rPr>
          <w:rFonts w:ascii="Tahoma" w:hAnsi="Tahoma" w:cs="Tahoma"/>
          <w:sz w:val="23"/>
          <w:szCs w:val="23"/>
        </w:rPr>
        <w:t>pay, benefits, and job security (</w:t>
      </w:r>
      <w:proofErr w:type="spellStart"/>
      <w:r w:rsidR="0040559C" w:rsidRPr="00BC22F7">
        <w:rPr>
          <w:rFonts w:ascii="Tahoma" w:hAnsi="Tahoma" w:cs="Tahoma"/>
          <w:sz w:val="23"/>
          <w:szCs w:val="23"/>
        </w:rPr>
        <w:t>Buelens</w:t>
      </w:r>
      <w:proofErr w:type="spellEnd"/>
      <w:r w:rsidR="0040559C" w:rsidRPr="00BC22F7">
        <w:rPr>
          <w:rFonts w:ascii="Tahoma" w:hAnsi="Tahoma" w:cs="Tahoma"/>
          <w:sz w:val="23"/>
          <w:szCs w:val="23"/>
        </w:rPr>
        <w:t xml:space="preserve"> &amp; Van den </w:t>
      </w:r>
      <w:proofErr w:type="spellStart"/>
      <w:r w:rsidR="0040559C" w:rsidRPr="00BC22F7">
        <w:rPr>
          <w:rFonts w:ascii="Tahoma" w:hAnsi="Tahoma" w:cs="Tahoma"/>
          <w:sz w:val="23"/>
          <w:szCs w:val="23"/>
        </w:rPr>
        <w:t>Broeck</w:t>
      </w:r>
      <w:proofErr w:type="spellEnd"/>
      <w:r w:rsidR="0040559C" w:rsidRPr="00BC22F7">
        <w:rPr>
          <w:rFonts w:ascii="Tahoma" w:hAnsi="Tahoma" w:cs="Tahoma"/>
          <w:sz w:val="23"/>
          <w:szCs w:val="23"/>
        </w:rPr>
        <w:t xml:space="preserve">, 2007; Clark &amp; </w:t>
      </w:r>
      <w:proofErr w:type="spellStart"/>
      <w:r w:rsidR="0040559C" w:rsidRPr="00BC22F7">
        <w:rPr>
          <w:rFonts w:ascii="Tahoma" w:hAnsi="Tahoma" w:cs="Tahoma"/>
          <w:sz w:val="23"/>
          <w:szCs w:val="23"/>
        </w:rPr>
        <w:t>Postel-Vinay</w:t>
      </w:r>
      <w:proofErr w:type="spellEnd"/>
      <w:r w:rsidR="0040559C" w:rsidRPr="00BC22F7">
        <w:rPr>
          <w:rFonts w:ascii="Tahoma" w:hAnsi="Tahoma" w:cs="Tahoma"/>
          <w:sz w:val="23"/>
          <w:szCs w:val="23"/>
        </w:rPr>
        <w:t>, 2009; Houston, 2000</w:t>
      </w:r>
      <w:r w:rsidR="005248EC" w:rsidRPr="00BC22F7">
        <w:rPr>
          <w:rFonts w:ascii="Tahoma" w:hAnsi="Tahoma" w:cs="Tahoma"/>
          <w:sz w:val="23"/>
          <w:szCs w:val="23"/>
        </w:rPr>
        <w:t>).</w:t>
      </w:r>
    </w:p>
    <w:p w:rsidR="00680F59" w:rsidRPr="00BC22F7" w:rsidRDefault="00680F59" w:rsidP="008A026D">
      <w:pPr>
        <w:spacing w:after="0" w:line="240" w:lineRule="auto"/>
        <w:rPr>
          <w:rFonts w:ascii="Tahoma" w:hAnsi="Tahoma" w:cs="Tahoma"/>
          <w:sz w:val="23"/>
          <w:szCs w:val="23"/>
        </w:rPr>
      </w:pPr>
    </w:p>
    <w:p w:rsidR="00680F59" w:rsidRPr="00BC22F7" w:rsidRDefault="00A307DC" w:rsidP="008A026D">
      <w:pPr>
        <w:spacing w:after="0" w:line="240" w:lineRule="auto"/>
        <w:rPr>
          <w:rFonts w:ascii="Tahoma" w:hAnsi="Tahoma" w:cs="Tahoma"/>
          <w:sz w:val="23"/>
          <w:szCs w:val="23"/>
        </w:rPr>
      </w:pPr>
      <w:r w:rsidRPr="00BC22F7">
        <w:rPr>
          <w:rFonts w:ascii="Tahoma" w:hAnsi="Tahoma" w:cs="Tahoma"/>
          <w:sz w:val="23"/>
          <w:szCs w:val="23"/>
        </w:rPr>
        <w:tab/>
      </w:r>
      <w:r w:rsidR="00E47648" w:rsidRPr="00BC22F7">
        <w:rPr>
          <w:rFonts w:ascii="Tahoma" w:hAnsi="Tahoma" w:cs="Tahoma"/>
          <w:sz w:val="23"/>
          <w:szCs w:val="23"/>
        </w:rPr>
        <w:t xml:space="preserve">Although a great deal is known about </w:t>
      </w:r>
      <w:r w:rsidR="002F320A" w:rsidRPr="00BC22F7">
        <w:rPr>
          <w:rFonts w:ascii="Tahoma" w:hAnsi="Tahoma" w:cs="Tahoma"/>
          <w:sz w:val="23"/>
          <w:szCs w:val="23"/>
        </w:rPr>
        <w:t xml:space="preserve">individuals </w:t>
      </w:r>
      <w:r w:rsidR="00E47648" w:rsidRPr="00BC22F7">
        <w:rPr>
          <w:rFonts w:ascii="Tahoma" w:hAnsi="Tahoma" w:cs="Tahoma"/>
          <w:sz w:val="23"/>
          <w:szCs w:val="23"/>
        </w:rPr>
        <w:t xml:space="preserve">who </w:t>
      </w:r>
      <w:r w:rsidR="002E630E" w:rsidRPr="00BC22F7">
        <w:rPr>
          <w:rFonts w:ascii="Tahoma" w:hAnsi="Tahoma" w:cs="Tahoma"/>
          <w:sz w:val="23"/>
          <w:szCs w:val="23"/>
        </w:rPr>
        <w:t>are employed in the</w:t>
      </w:r>
      <w:r w:rsidR="00D52B8C" w:rsidRPr="00BC22F7">
        <w:rPr>
          <w:rFonts w:ascii="Tahoma" w:hAnsi="Tahoma" w:cs="Tahoma"/>
          <w:sz w:val="23"/>
          <w:szCs w:val="23"/>
        </w:rPr>
        <w:t xml:space="preserve"> </w:t>
      </w:r>
      <w:r w:rsidR="002F320A" w:rsidRPr="00BC22F7">
        <w:rPr>
          <w:rFonts w:ascii="Tahoma" w:hAnsi="Tahoma" w:cs="Tahoma"/>
          <w:sz w:val="23"/>
          <w:szCs w:val="23"/>
        </w:rPr>
        <w:t>public sector</w:t>
      </w:r>
      <w:r w:rsidR="00B70009" w:rsidRPr="00BC22F7">
        <w:rPr>
          <w:rFonts w:ascii="Tahoma" w:hAnsi="Tahoma" w:cs="Tahoma"/>
          <w:sz w:val="23"/>
          <w:szCs w:val="23"/>
        </w:rPr>
        <w:t xml:space="preserve"> </w:t>
      </w:r>
      <w:r w:rsidR="00E47648" w:rsidRPr="00BC22F7">
        <w:rPr>
          <w:rFonts w:ascii="Tahoma" w:hAnsi="Tahoma" w:cs="Tahoma"/>
          <w:sz w:val="23"/>
          <w:szCs w:val="23"/>
        </w:rPr>
        <w:t xml:space="preserve">(Bright, 2005; Lewis &amp; Frank, 2002; </w:t>
      </w:r>
      <w:proofErr w:type="spellStart"/>
      <w:r w:rsidR="00E47648" w:rsidRPr="00BC22F7">
        <w:rPr>
          <w:rFonts w:ascii="Tahoma" w:hAnsi="Tahoma" w:cs="Tahoma"/>
          <w:sz w:val="23"/>
          <w:szCs w:val="23"/>
        </w:rPr>
        <w:t>Vandenabeele</w:t>
      </w:r>
      <w:proofErr w:type="spellEnd"/>
      <w:r w:rsidR="00E47648" w:rsidRPr="00BC22F7">
        <w:rPr>
          <w:rFonts w:ascii="Tahoma" w:hAnsi="Tahoma" w:cs="Tahoma"/>
          <w:sz w:val="23"/>
          <w:szCs w:val="23"/>
        </w:rPr>
        <w:t xml:space="preserve">, 2011), </w:t>
      </w:r>
      <w:r w:rsidR="002F320A" w:rsidRPr="00BC22F7">
        <w:rPr>
          <w:rFonts w:ascii="Tahoma" w:hAnsi="Tahoma" w:cs="Tahoma"/>
          <w:sz w:val="23"/>
          <w:szCs w:val="23"/>
        </w:rPr>
        <w:t xml:space="preserve">comparatively </w:t>
      </w:r>
      <w:r w:rsidR="00B70009" w:rsidRPr="00BC22F7">
        <w:rPr>
          <w:rFonts w:ascii="Tahoma" w:hAnsi="Tahoma" w:cs="Tahoma"/>
          <w:sz w:val="23"/>
          <w:szCs w:val="23"/>
        </w:rPr>
        <w:t xml:space="preserve">little </w:t>
      </w:r>
      <w:r w:rsidR="004D74F4" w:rsidRPr="00BC22F7">
        <w:rPr>
          <w:rFonts w:ascii="Tahoma" w:hAnsi="Tahoma" w:cs="Tahoma"/>
          <w:sz w:val="23"/>
          <w:szCs w:val="23"/>
        </w:rPr>
        <w:t xml:space="preserve">is known </w:t>
      </w:r>
      <w:r w:rsidR="00B70009" w:rsidRPr="00BC22F7">
        <w:rPr>
          <w:rFonts w:ascii="Tahoma" w:hAnsi="Tahoma" w:cs="Tahoma"/>
          <w:sz w:val="23"/>
          <w:szCs w:val="23"/>
        </w:rPr>
        <w:t xml:space="preserve">about those who are about to embark on their careers </w:t>
      </w:r>
      <w:r w:rsidR="002F320A" w:rsidRPr="00BC22F7">
        <w:rPr>
          <w:rFonts w:ascii="Tahoma" w:hAnsi="Tahoma" w:cs="Tahoma"/>
          <w:sz w:val="23"/>
          <w:szCs w:val="23"/>
        </w:rPr>
        <w:t xml:space="preserve">and </w:t>
      </w:r>
      <w:r w:rsidR="004D74F4" w:rsidRPr="00BC22F7">
        <w:rPr>
          <w:rFonts w:ascii="Tahoma" w:hAnsi="Tahoma" w:cs="Tahoma"/>
          <w:sz w:val="23"/>
          <w:szCs w:val="23"/>
        </w:rPr>
        <w:t xml:space="preserve">the factors that </w:t>
      </w:r>
      <w:r w:rsidR="002F320A" w:rsidRPr="00BC22F7">
        <w:rPr>
          <w:rFonts w:ascii="Tahoma" w:hAnsi="Tahoma" w:cs="Tahoma"/>
          <w:sz w:val="23"/>
          <w:szCs w:val="23"/>
        </w:rPr>
        <w:t xml:space="preserve">contribute to </w:t>
      </w:r>
      <w:r w:rsidR="004D74F4" w:rsidRPr="00BC22F7">
        <w:rPr>
          <w:rFonts w:ascii="Tahoma" w:hAnsi="Tahoma" w:cs="Tahoma"/>
          <w:sz w:val="23"/>
          <w:szCs w:val="23"/>
        </w:rPr>
        <w:t xml:space="preserve">their </w:t>
      </w:r>
      <w:r w:rsidR="00D52B8C" w:rsidRPr="00BC22F7">
        <w:rPr>
          <w:rFonts w:ascii="Tahoma" w:hAnsi="Tahoma" w:cs="Tahoma"/>
          <w:sz w:val="23"/>
          <w:szCs w:val="23"/>
        </w:rPr>
        <w:t xml:space="preserve">attraction to employment in the public vs. private sector </w:t>
      </w:r>
      <w:r w:rsidR="00ED0840" w:rsidRPr="00BC22F7">
        <w:rPr>
          <w:rFonts w:ascii="Tahoma" w:hAnsi="Tahoma" w:cs="Tahoma"/>
          <w:sz w:val="23"/>
          <w:szCs w:val="23"/>
        </w:rPr>
        <w:t xml:space="preserve">(Perry &amp; </w:t>
      </w:r>
      <w:proofErr w:type="spellStart"/>
      <w:r w:rsidR="00ED0840" w:rsidRPr="00BC22F7">
        <w:rPr>
          <w:rFonts w:ascii="Tahoma" w:hAnsi="Tahoma" w:cs="Tahoma"/>
          <w:sz w:val="23"/>
          <w:szCs w:val="23"/>
        </w:rPr>
        <w:t>Buckwalter</w:t>
      </w:r>
      <w:proofErr w:type="spellEnd"/>
      <w:r w:rsidR="00ED0840" w:rsidRPr="00BC22F7">
        <w:rPr>
          <w:rFonts w:ascii="Tahoma" w:hAnsi="Tahoma" w:cs="Tahoma"/>
          <w:sz w:val="23"/>
          <w:szCs w:val="23"/>
        </w:rPr>
        <w:t>, 2010)</w:t>
      </w:r>
      <w:r w:rsidR="00B70009" w:rsidRPr="00BC22F7">
        <w:rPr>
          <w:rFonts w:ascii="Tahoma" w:hAnsi="Tahoma" w:cs="Tahoma"/>
          <w:sz w:val="23"/>
          <w:szCs w:val="23"/>
        </w:rPr>
        <w:t xml:space="preserve">. </w:t>
      </w:r>
      <w:r w:rsidR="00F34517" w:rsidRPr="00BC22F7">
        <w:rPr>
          <w:rFonts w:ascii="Tahoma" w:hAnsi="Tahoma" w:cs="Tahoma"/>
          <w:sz w:val="23"/>
          <w:szCs w:val="23"/>
        </w:rPr>
        <w:t xml:space="preserve">Given changing demographics and the entry of </w:t>
      </w:r>
      <w:r w:rsidR="00F70F43" w:rsidRPr="00BC22F7">
        <w:rPr>
          <w:rFonts w:ascii="Tahoma" w:hAnsi="Tahoma" w:cs="Tahoma"/>
          <w:sz w:val="23"/>
          <w:szCs w:val="23"/>
        </w:rPr>
        <w:t xml:space="preserve">a </w:t>
      </w:r>
      <w:r w:rsidR="00F34517" w:rsidRPr="00BC22F7">
        <w:rPr>
          <w:rFonts w:ascii="Tahoma" w:hAnsi="Tahoma" w:cs="Tahoma"/>
          <w:sz w:val="23"/>
          <w:szCs w:val="23"/>
        </w:rPr>
        <w:t xml:space="preserve">large cadre of younger </w:t>
      </w:r>
      <w:r w:rsidR="00F34517" w:rsidRPr="00BC22F7">
        <w:rPr>
          <w:rFonts w:ascii="Tahoma" w:hAnsi="Tahoma" w:cs="Tahoma"/>
          <w:sz w:val="23"/>
          <w:szCs w:val="23"/>
        </w:rPr>
        <w:lastRenderedPageBreak/>
        <w:t>works (“</w:t>
      </w:r>
      <w:proofErr w:type="spellStart"/>
      <w:r w:rsidR="00F34517" w:rsidRPr="00BC22F7">
        <w:rPr>
          <w:rFonts w:ascii="Tahoma" w:hAnsi="Tahoma" w:cs="Tahoma"/>
          <w:sz w:val="23"/>
          <w:szCs w:val="23"/>
        </w:rPr>
        <w:t>millenials</w:t>
      </w:r>
      <w:proofErr w:type="spellEnd"/>
      <w:r w:rsidR="00F34517" w:rsidRPr="00BC22F7">
        <w:rPr>
          <w:rFonts w:ascii="Tahoma" w:hAnsi="Tahoma" w:cs="Tahoma"/>
          <w:sz w:val="23"/>
          <w:szCs w:val="23"/>
        </w:rPr>
        <w:t xml:space="preserve">”) into the workforce to replace </w:t>
      </w:r>
      <w:r w:rsidR="00F70F43" w:rsidRPr="00BC22F7">
        <w:rPr>
          <w:rFonts w:ascii="Tahoma" w:hAnsi="Tahoma" w:cs="Tahoma"/>
          <w:sz w:val="23"/>
          <w:szCs w:val="23"/>
        </w:rPr>
        <w:t>retiring baby boomers</w:t>
      </w:r>
      <w:r w:rsidR="00F34517" w:rsidRPr="00BC22F7">
        <w:rPr>
          <w:rFonts w:ascii="Tahoma" w:hAnsi="Tahoma" w:cs="Tahoma"/>
          <w:sz w:val="23"/>
          <w:szCs w:val="23"/>
        </w:rPr>
        <w:t xml:space="preserve"> (Lyons, Ng, &amp; Schweitzer, 20</w:t>
      </w:r>
      <w:r w:rsidR="00D2682F" w:rsidRPr="00BC22F7">
        <w:rPr>
          <w:rFonts w:ascii="Tahoma" w:hAnsi="Tahoma" w:cs="Tahoma"/>
          <w:sz w:val="23"/>
          <w:szCs w:val="23"/>
        </w:rPr>
        <w:t>12</w:t>
      </w:r>
      <w:r w:rsidR="00F34517" w:rsidRPr="00BC22F7">
        <w:rPr>
          <w:rFonts w:ascii="Tahoma" w:hAnsi="Tahoma" w:cs="Tahoma"/>
          <w:sz w:val="23"/>
          <w:szCs w:val="23"/>
        </w:rPr>
        <w:t xml:space="preserve">), a key challenge for the federal government </w:t>
      </w:r>
      <w:r w:rsidR="005A00C7" w:rsidRPr="00BC22F7">
        <w:rPr>
          <w:rFonts w:ascii="Tahoma" w:hAnsi="Tahoma" w:cs="Tahoma"/>
          <w:sz w:val="23"/>
          <w:szCs w:val="23"/>
        </w:rPr>
        <w:t xml:space="preserve">and other public sector employers </w:t>
      </w:r>
      <w:r w:rsidR="00F34517" w:rsidRPr="00BC22F7">
        <w:rPr>
          <w:rFonts w:ascii="Tahoma" w:hAnsi="Tahoma" w:cs="Tahoma"/>
          <w:sz w:val="23"/>
          <w:szCs w:val="23"/>
        </w:rPr>
        <w:t xml:space="preserve">will be to successfully recruit younger workers to the public sector. </w:t>
      </w:r>
      <w:r w:rsidR="002E630E" w:rsidRPr="00BC22F7">
        <w:rPr>
          <w:rFonts w:ascii="Tahoma" w:hAnsi="Tahoma" w:cs="Tahoma"/>
          <w:sz w:val="23"/>
          <w:szCs w:val="23"/>
        </w:rPr>
        <w:t>Several</w:t>
      </w:r>
      <w:r w:rsidR="00F34517" w:rsidRPr="00BC22F7">
        <w:rPr>
          <w:rFonts w:ascii="Tahoma" w:hAnsi="Tahoma" w:cs="Tahoma"/>
          <w:sz w:val="23"/>
          <w:szCs w:val="23"/>
        </w:rPr>
        <w:t xml:space="preserve"> studies suggest that younger workers </w:t>
      </w:r>
      <w:r w:rsidR="002E630E" w:rsidRPr="00BC22F7">
        <w:rPr>
          <w:rFonts w:ascii="Tahoma" w:hAnsi="Tahoma" w:cs="Tahoma"/>
          <w:sz w:val="23"/>
          <w:szCs w:val="23"/>
        </w:rPr>
        <w:t>(“</w:t>
      </w:r>
      <w:proofErr w:type="spellStart"/>
      <w:r w:rsidR="002E630E" w:rsidRPr="00BC22F7">
        <w:rPr>
          <w:rFonts w:ascii="Tahoma" w:hAnsi="Tahoma" w:cs="Tahoma"/>
          <w:sz w:val="23"/>
          <w:szCs w:val="23"/>
        </w:rPr>
        <w:t>millenials</w:t>
      </w:r>
      <w:proofErr w:type="spellEnd"/>
      <w:r w:rsidR="002E630E" w:rsidRPr="00BC22F7">
        <w:rPr>
          <w:rFonts w:ascii="Tahoma" w:hAnsi="Tahoma" w:cs="Tahoma"/>
          <w:sz w:val="23"/>
          <w:szCs w:val="23"/>
        </w:rPr>
        <w:t xml:space="preserve">”) </w:t>
      </w:r>
      <w:r w:rsidR="00F34517" w:rsidRPr="00BC22F7">
        <w:rPr>
          <w:rFonts w:ascii="Tahoma" w:hAnsi="Tahoma" w:cs="Tahoma"/>
          <w:sz w:val="23"/>
          <w:szCs w:val="23"/>
        </w:rPr>
        <w:t>tend to espouse values, attitudes, and expectations that differ from those of previous generations (Ng, Lyons, &amp; Schweitzer, 2010; Lyons</w:t>
      </w:r>
      <w:r w:rsidR="00D2682F" w:rsidRPr="00BC22F7">
        <w:rPr>
          <w:rFonts w:ascii="Tahoma" w:hAnsi="Tahoma" w:cs="Tahoma"/>
          <w:sz w:val="23"/>
          <w:szCs w:val="23"/>
        </w:rPr>
        <w:t xml:space="preserve"> et al.,</w:t>
      </w:r>
      <w:r w:rsidR="00F34517" w:rsidRPr="00BC22F7">
        <w:rPr>
          <w:rFonts w:ascii="Tahoma" w:hAnsi="Tahoma" w:cs="Tahoma"/>
          <w:sz w:val="23"/>
          <w:szCs w:val="23"/>
        </w:rPr>
        <w:t xml:space="preserve"> 2012). </w:t>
      </w:r>
      <w:r w:rsidR="002E630E" w:rsidRPr="00BC22F7">
        <w:rPr>
          <w:rFonts w:ascii="Tahoma" w:hAnsi="Tahoma" w:cs="Tahoma"/>
          <w:sz w:val="23"/>
          <w:szCs w:val="23"/>
        </w:rPr>
        <w:t>For example</w:t>
      </w:r>
      <w:r w:rsidR="00F70F43" w:rsidRPr="00BC22F7">
        <w:rPr>
          <w:rFonts w:ascii="Tahoma" w:hAnsi="Tahoma" w:cs="Tahoma"/>
          <w:sz w:val="23"/>
          <w:szCs w:val="23"/>
        </w:rPr>
        <w:t xml:space="preserve">, younger workers tend to have </w:t>
      </w:r>
      <w:r w:rsidR="002E630E" w:rsidRPr="00BC22F7">
        <w:rPr>
          <w:rFonts w:ascii="Tahoma" w:hAnsi="Tahoma" w:cs="Tahoma"/>
          <w:sz w:val="23"/>
          <w:szCs w:val="23"/>
        </w:rPr>
        <w:t xml:space="preserve">generally </w:t>
      </w:r>
      <w:r w:rsidR="00F70F43" w:rsidRPr="00BC22F7">
        <w:rPr>
          <w:rFonts w:ascii="Tahoma" w:hAnsi="Tahoma" w:cs="Tahoma"/>
          <w:sz w:val="23"/>
          <w:szCs w:val="23"/>
        </w:rPr>
        <w:t xml:space="preserve">more negative views of the government and government jobs </w:t>
      </w:r>
      <w:r w:rsidR="000F47A1" w:rsidRPr="00BC22F7">
        <w:rPr>
          <w:rFonts w:ascii="Tahoma" w:hAnsi="Tahoma" w:cs="Tahoma"/>
          <w:sz w:val="23"/>
          <w:szCs w:val="23"/>
        </w:rPr>
        <w:t>(</w:t>
      </w:r>
      <w:proofErr w:type="spellStart"/>
      <w:r w:rsidR="000F47A1" w:rsidRPr="00BC22F7">
        <w:rPr>
          <w:rFonts w:ascii="Tahoma" w:hAnsi="Tahoma" w:cs="Tahoma"/>
          <w:sz w:val="23"/>
          <w:szCs w:val="23"/>
        </w:rPr>
        <w:t>Chetkovich</w:t>
      </w:r>
      <w:proofErr w:type="spellEnd"/>
      <w:r w:rsidR="000F47A1" w:rsidRPr="00BC22F7">
        <w:rPr>
          <w:rFonts w:ascii="Tahoma" w:hAnsi="Tahoma" w:cs="Tahoma"/>
          <w:sz w:val="23"/>
          <w:szCs w:val="23"/>
        </w:rPr>
        <w:t xml:space="preserve">, 2003; </w:t>
      </w:r>
      <w:r w:rsidR="00F70F43" w:rsidRPr="00BC22F7">
        <w:rPr>
          <w:rFonts w:ascii="Tahoma" w:hAnsi="Tahoma" w:cs="Tahoma"/>
          <w:sz w:val="23"/>
          <w:szCs w:val="23"/>
        </w:rPr>
        <w:t>Lewis &amp; Frank, 2002)</w:t>
      </w:r>
      <w:r w:rsidR="001D05C8" w:rsidRPr="00BC22F7">
        <w:rPr>
          <w:rFonts w:ascii="Tahoma" w:hAnsi="Tahoma" w:cs="Tahoma"/>
          <w:sz w:val="23"/>
          <w:szCs w:val="23"/>
        </w:rPr>
        <w:t xml:space="preserve">, </w:t>
      </w:r>
      <w:r w:rsidR="000726E1" w:rsidRPr="00BC22F7">
        <w:rPr>
          <w:rFonts w:ascii="Tahoma" w:hAnsi="Tahoma" w:cs="Tahoma"/>
          <w:sz w:val="23"/>
          <w:szCs w:val="23"/>
        </w:rPr>
        <w:t>for instance,</w:t>
      </w:r>
      <w:r w:rsidR="00D2682F" w:rsidRPr="00BC22F7">
        <w:rPr>
          <w:rFonts w:ascii="Tahoma" w:hAnsi="Tahoma" w:cs="Tahoma"/>
          <w:sz w:val="23"/>
          <w:szCs w:val="23"/>
        </w:rPr>
        <w:t xml:space="preserve"> </w:t>
      </w:r>
      <w:r w:rsidR="00A262DB" w:rsidRPr="00BC22F7">
        <w:rPr>
          <w:rFonts w:ascii="Tahoma" w:hAnsi="Tahoma" w:cs="Tahoma"/>
          <w:sz w:val="23"/>
          <w:szCs w:val="23"/>
        </w:rPr>
        <w:t xml:space="preserve">viewing </w:t>
      </w:r>
      <w:r w:rsidR="00F70F43" w:rsidRPr="00BC22F7">
        <w:rPr>
          <w:rFonts w:ascii="Tahoma" w:hAnsi="Tahoma" w:cs="Tahoma"/>
          <w:sz w:val="23"/>
          <w:szCs w:val="23"/>
        </w:rPr>
        <w:t>government jobs</w:t>
      </w:r>
      <w:r w:rsidR="000726E1" w:rsidRPr="00BC22F7">
        <w:rPr>
          <w:rFonts w:ascii="Tahoma" w:hAnsi="Tahoma" w:cs="Tahoma"/>
          <w:sz w:val="23"/>
          <w:szCs w:val="23"/>
        </w:rPr>
        <w:t xml:space="preserve"> </w:t>
      </w:r>
      <w:r w:rsidR="00F70F43" w:rsidRPr="00BC22F7">
        <w:rPr>
          <w:rFonts w:ascii="Tahoma" w:hAnsi="Tahoma" w:cs="Tahoma"/>
          <w:sz w:val="23"/>
          <w:szCs w:val="23"/>
        </w:rPr>
        <w:t xml:space="preserve">as “less fun” (Karl, </w:t>
      </w:r>
      <w:proofErr w:type="spellStart"/>
      <w:r w:rsidR="00F70F43" w:rsidRPr="00BC22F7">
        <w:rPr>
          <w:rFonts w:ascii="Tahoma" w:hAnsi="Tahoma" w:cs="Tahoma"/>
          <w:sz w:val="23"/>
          <w:szCs w:val="23"/>
        </w:rPr>
        <w:t>Peluchette</w:t>
      </w:r>
      <w:proofErr w:type="spellEnd"/>
      <w:r w:rsidR="00F70F43" w:rsidRPr="00BC22F7">
        <w:rPr>
          <w:rFonts w:ascii="Tahoma" w:hAnsi="Tahoma" w:cs="Tahoma"/>
          <w:sz w:val="23"/>
          <w:szCs w:val="23"/>
        </w:rPr>
        <w:t>, Hall, &amp; Harland, 2005</w:t>
      </w:r>
      <w:r w:rsidR="001D05C8" w:rsidRPr="00BC22F7">
        <w:rPr>
          <w:rFonts w:ascii="Tahoma" w:hAnsi="Tahoma" w:cs="Tahoma"/>
          <w:sz w:val="23"/>
          <w:szCs w:val="23"/>
        </w:rPr>
        <w:t xml:space="preserve">). </w:t>
      </w:r>
      <w:r w:rsidR="00A262DB" w:rsidRPr="00BC22F7">
        <w:rPr>
          <w:rFonts w:ascii="Tahoma" w:hAnsi="Tahoma" w:cs="Tahoma"/>
          <w:sz w:val="23"/>
          <w:szCs w:val="23"/>
        </w:rPr>
        <w:t>Younger workers today are also seeking less supervision (</w:t>
      </w:r>
      <w:proofErr w:type="spellStart"/>
      <w:r w:rsidR="00A262DB" w:rsidRPr="00BC22F7">
        <w:rPr>
          <w:rFonts w:ascii="Tahoma" w:hAnsi="Tahoma" w:cs="Tahoma"/>
          <w:sz w:val="23"/>
          <w:szCs w:val="23"/>
        </w:rPr>
        <w:t>Jurkiewicz</w:t>
      </w:r>
      <w:proofErr w:type="spellEnd"/>
      <w:r w:rsidR="00A262DB" w:rsidRPr="00BC22F7">
        <w:rPr>
          <w:rFonts w:ascii="Tahoma" w:hAnsi="Tahoma" w:cs="Tahoma"/>
          <w:sz w:val="23"/>
          <w:szCs w:val="23"/>
        </w:rPr>
        <w:t>, 2000)</w:t>
      </w:r>
      <w:r w:rsidR="00A1007C" w:rsidRPr="00BC22F7">
        <w:rPr>
          <w:rFonts w:ascii="Tahoma" w:hAnsi="Tahoma" w:cs="Tahoma"/>
          <w:sz w:val="23"/>
          <w:szCs w:val="23"/>
        </w:rPr>
        <w:t>,</w:t>
      </w:r>
      <w:r w:rsidR="00A262DB" w:rsidRPr="00BC22F7">
        <w:rPr>
          <w:rFonts w:ascii="Tahoma" w:hAnsi="Tahoma" w:cs="Tahoma"/>
          <w:sz w:val="23"/>
          <w:szCs w:val="23"/>
        </w:rPr>
        <w:t xml:space="preserve"> and </w:t>
      </w:r>
      <w:r w:rsidR="001E0899" w:rsidRPr="00BC22F7">
        <w:rPr>
          <w:rFonts w:ascii="Tahoma" w:hAnsi="Tahoma" w:cs="Tahoma"/>
          <w:sz w:val="23"/>
          <w:szCs w:val="23"/>
        </w:rPr>
        <w:t>emphasize job attributes such as</w:t>
      </w:r>
      <w:r w:rsidR="00A262DB" w:rsidRPr="00BC22F7">
        <w:rPr>
          <w:rFonts w:ascii="Tahoma" w:hAnsi="Tahoma" w:cs="Tahoma"/>
          <w:sz w:val="23"/>
          <w:szCs w:val="23"/>
        </w:rPr>
        <w:t xml:space="preserve"> salary levels (Taylor, 2005a) more than previous generations. </w:t>
      </w:r>
      <w:r w:rsidR="009A7BC0" w:rsidRPr="00BC22F7">
        <w:rPr>
          <w:rFonts w:ascii="Tahoma" w:hAnsi="Tahoma" w:cs="Tahoma"/>
          <w:sz w:val="23"/>
          <w:szCs w:val="23"/>
        </w:rPr>
        <w:t xml:space="preserve">In this regard, the </w:t>
      </w:r>
      <w:r w:rsidR="000726E1" w:rsidRPr="00BC22F7">
        <w:rPr>
          <w:rFonts w:ascii="Tahoma" w:hAnsi="Tahoma" w:cs="Tahoma"/>
          <w:sz w:val="23"/>
          <w:szCs w:val="23"/>
        </w:rPr>
        <w:t xml:space="preserve">core </w:t>
      </w:r>
      <w:r w:rsidR="009A7BC0" w:rsidRPr="00BC22F7">
        <w:rPr>
          <w:rFonts w:ascii="Tahoma" w:hAnsi="Tahoma" w:cs="Tahoma"/>
          <w:sz w:val="23"/>
          <w:szCs w:val="23"/>
        </w:rPr>
        <w:t xml:space="preserve">values of the workforce </w:t>
      </w:r>
      <w:r w:rsidR="000726E1" w:rsidRPr="00BC22F7">
        <w:rPr>
          <w:rFonts w:ascii="Tahoma" w:hAnsi="Tahoma" w:cs="Tahoma"/>
          <w:sz w:val="23"/>
          <w:szCs w:val="23"/>
        </w:rPr>
        <w:t>are</w:t>
      </w:r>
      <w:r w:rsidR="00D2682F" w:rsidRPr="00BC22F7">
        <w:rPr>
          <w:rFonts w:ascii="Tahoma" w:hAnsi="Tahoma" w:cs="Tahoma"/>
          <w:sz w:val="23"/>
          <w:szCs w:val="23"/>
        </w:rPr>
        <w:t xml:space="preserve"> </w:t>
      </w:r>
      <w:r w:rsidR="000726E1" w:rsidRPr="00BC22F7">
        <w:rPr>
          <w:rFonts w:ascii="Tahoma" w:hAnsi="Tahoma" w:cs="Tahoma"/>
          <w:sz w:val="23"/>
          <w:szCs w:val="23"/>
        </w:rPr>
        <w:t>shifting</w:t>
      </w:r>
      <w:r w:rsidR="009A7BC0" w:rsidRPr="00BC22F7">
        <w:rPr>
          <w:rFonts w:ascii="Tahoma" w:hAnsi="Tahoma" w:cs="Tahoma"/>
          <w:sz w:val="23"/>
          <w:szCs w:val="23"/>
        </w:rPr>
        <w:t xml:space="preserve">, requiring different recruitment strategies than the past (Lewis &amp; Cho, </w:t>
      </w:r>
      <w:r w:rsidR="00F767BB" w:rsidRPr="00BC22F7">
        <w:rPr>
          <w:rFonts w:ascii="Tahoma" w:hAnsi="Tahoma" w:cs="Tahoma"/>
          <w:sz w:val="23"/>
          <w:szCs w:val="23"/>
        </w:rPr>
        <w:t>2011</w:t>
      </w:r>
      <w:r w:rsidR="009A7BC0" w:rsidRPr="00BC22F7">
        <w:rPr>
          <w:rFonts w:ascii="Tahoma" w:hAnsi="Tahoma" w:cs="Tahoma"/>
          <w:sz w:val="23"/>
          <w:szCs w:val="23"/>
        </w:rPr>
        <w:t xml:space="preserve">). </w:t>
      </w:r>
      <w:r w:rsidR="001E0899" w:rsidRPr="00BC22F7">
        <w:rPr>
          <w:rFonts w:ascii="Tahoma" w:hAnsi="Tahoma" w:cs="Tahoma"/>
          <w:sz w:val="23"/>
          <w:szCs w:val="23"/>
        </w:rPr>
        <w:t xml:space="preserve">In a similar vein, </w:t>
      </w:r>
      <w:r w:rsidR="00F70F43" w:rsidRPr="00BC22F7">
        <w:rPr>
          <w:rFonts w:ascii="Tahoma" w:hAnsi="Tahoma" w:cs="Tahoma"/>
          <w:sz w:val="23"/>
          <w:szCs w:val="23"/>
        </w:rPr>
        <w:t xml:space="preserve">minority groups may </w:t>
      </w:r>
      <w:r w:rsidR="001D05C8" w:rsidRPr="00BC22F7">
        <w:rPr>
          <w:rFonts w:ascii="Tahoma" w:hAnsi="Tahoma" w:cs="Tahoma"/>
          <w:sz w:val="23"/>
          <w:szCs w:val="23"/>
        </w:rPr>
        <w:t xml:space="preserve">differ in their </w:t>
      </w:r>
      <w:r w:rsidR="00F70F43" w:rsidRPr="00BC22F7">
        <w:rPr>
          <w:rFonts w:ascii="Tahoma" w:hAnsi="Tahoma" w:cs="Tahoma"/>
          <w:sz w:val="23"/>
          <w:szCs w:val="23"/>
        </w:rPr>
        <w:t>view</w:t>
      </w:r>
      <w:r w:rsidR="001D05C8" w:rsidRPr="00BC22F7">
        <w:rPr>
          <w:rFonts w:ascii="Tahoma" w:hAnsi="Tahoma" w:cs="Tahoma"/>
          <w:sz w:val="23"/>
          <w:szCs w:val="23"/>
        </w:rPr>
        <w:t xml:space="preserve">s of the attractiveness of </w:t>
      </w:r>
      <w:r w:rsidR="00F70F43" w:rsidRPr="00BC22F7">
        <w:rPr>
          <w:rFonts w:ascii="Tahoma" w:hAnsi="Tahoma" w:cs="Tahoma"/>
          <w:sz w:val="23"/>
          <w:szCs w:val="23"/>
        </w:rPr>
        <w:t xml:space="preserve">government </w:t>
      </w:r>
      <w:r w:rsidR="001D05C8" w:rsidRPr="00BC22F7">
        <w:rPr>
          <w:rFonts w:ascii="Tahoma" w:hAnsi="Tahoma" w:cs="Tahoma"/>
          <w:sz w:val="23"/>
          <w:szCs w:val="23"/>
        </w:rPr>
        <w:t xml:space="preserve">jobs as </w:t>
      </w:r>
      <w:r w:rsidR="00A262DB" w:rsidRPr="00BC22F7">
        <w:rPr>
          <w:rFonts w:ascii="Tahoma" w:hAnsi="Tahoma" w:cs="Tahoma"/>
          <w:sz w:val="23"/>
          <w:szCs w:val="23"/>
        </w:rPr>
        <w:t xml:space="preserve">a </w:t>
      </w:r>
      <w:r w:rsidR="001D05C8" w:rsidRPr="00BC22F7">
        <w:rPr>
          <w:rFonts w:ascii="Tahoma" w:hAnsi="Tahoma" w:cs="Tahoma"/>
          <w:sz w:val="23"/>
          <w:szCs w:val="23"/>
        </w:rPr>
        <w:t xml:space="preserve">function of </w:t>
      </w:r>
      <w:r w:rsidR="00A262DB" w:rsidRPr="00BC22F7">
        <w:rPr>
          <w:rFonts w:ascii="Tahoma" w:hAnsi="Tahoma" w:cs="Tahoma"/>
          <w:sz w:val="23"/>
          <w:szCs w:val="23"/>
        </w:rPr>
        <w:t xml:space="preserve">varying emphases on certain </w:t>
      </w:r>
      <w:r w:rsidR="001E0899" w:rsidRPr="00BC22F7">
        <w:rPr>
          <w:rFonts w:ascii="Tahoma" w:hAnsi="Tahoma" w:cs="Tahoma"/>
          <w:sz w:val="23"/>
          <w:szCs w:val="23"/>
        </w:rPr>
        <w:t>job attributes</w:t>
      </w:r>
      <w:r w:rsidR="00A262DB" w:rsidRPr="00BC22F7">
        <w:rPr>
          <w:rFonts w:ascii="Tahoma" w:hAnsi="Tahoma" w:cs="Tahoma"/>
          <w:sz w:val="23"/>
          <w:szCs w:val="23"/>
        </w:rPr>
        <w:t xml:space="preserve">. For example, ethnic minorities may view </w:t>
      </w:r>
      <w:r w:rsidR="001D05C8" w:rsidRPr="00BC22F7">
        <w:rPr>
          <w:rFonts w:ascii="Tahoma" w:hAnsi="Tahoma" w:cs="Tahoma"/>
          <w:sz w:val="23"/>
          <w:szCs w:val="23"/>
        </w:rPr>
        <w:t>the federal government</w:t>
      </w:r>
      <w:r w:rsidR="00A262DB" w:rsidRPr="00BC22F7">
        <w:rPr>
          <w:rFonts w:ascii="Tahoma" w:hAnsi="Tahoma" w:cs="Tahoma"/>
          <w:sz w:val="23"/>
          <w:szCs w:val="23"/>
        </w:rPr>
        <w:t xml:space="preserve"> as quite </w:t>
      </w:r>
      <w:r w:rsidR="001D05C8" w:rsidRPr="00BC22F7">
        <w:rPr>
          <w:rFonts w:ascii="Tahoma" w:hAnsi="Tahoma" w:cs="Tahoma"/>
          <w:sz w:val="23"/>
          <w:szCs w:val="23"/>
        </w:rPr>
        <w:t xml:space="preserve">progressive in certain domains (e.g., enforcing anti-discrimination legislation), but less progressive in other areas (e.g., offering </w:t>
      </w:r>
      <w:r w:rsidR="00A1007C" w:rsidRPr="00BC22F7">
        <w:rPr>
          <w:rFonts w:ascii="Tahoma" w:hAnsi="Tahoma" w:cs="Tahoma"/>
          <w:sz w:val="23"/>
          <w:szCs w:val="23"/>
        </w:rPr>
        <w:t xml:space="preserve">lower </w:t>
      </w:r>
      <w:r w:rsidR="001D05C8" w:rsidRPr="00BC22F7">
        <w:rPr>
          <w:rFonts w:ascii="Tahoma" w:hAnsi="Tahoma" w:cs="Tahoma"/>
          <w:sz w:val="23"/>
          <w:szCs w:val="23"/>
        </w:rPr>
        <w:t>salaries</w:t>
      </w:r>
      <w:r w:rsidR="00B634C6" w:rsidRPr="00BC22F7">
        <w:rPr>
          <w:rFonts w:ascii="Tahoma" w:hAnsi="Tahoma" w:cs="Tahoma"/>
          <w:sz w:val="23"/>
          <w:szCs w:val="23"/>
        </w:rPr>
        <w:t>,</w:t>
      </w:r>
      <w:r w:rsidR="001D05C8" w:rsidRPr="00BC22F7">
        <w:rPr>
          <w:rFonts w:ascii="Tahoma" w:hAnsi="Tahoma" w:cs="Tahoma"/>
          <w:sz w:val="23"/>
          <w:szCs w:val="23"/>
        </w:rPr>
        <w:t xml:space="preserve"> Lewis &amp; Frank, 2002; </w:t>
      </w:r>
      <w:r w:rsidR="000726E1" w:rsidRPr="00BC22F7">
        <w:rPr>
          <w:rFonts w:ascii="Tahoma" w:hAnsi="Tahoma" w:cs="Tahoma"/>
          <w:sz w:val="23"/>
          <w:szCs w:val="23"/>
        </w:rPr>
        <w:t xml:space="preserve">providing fewer </w:t>
      </w:r>
      <w:r w:rsidR="00B634C6" w:rsidRPr="00BC22F7">
        <w:rPr>
          <w:rFonts w:ascii="Tahoma" w:hAnsi="Tahoma" w:cs="Tahoma"/>
          <w:sz w:val="23"/>
          <w:szCs w:val="23"/>
        </w:rPr>
        <w:t>promotional opportunities, Beck, Reitz, &amp; Werner, 2002)</w:t>
      </w:r>
      <w:r w:rsidR="00A262DB" w:rsidRPr="00BC22F7">
        <w:rPr>
          <w:rFonts w:ascii="Tahoma" w:hAnsi="Tahoma" w:cs="Tahoma"/>
          <w:sz w:val="23"/>
          <w:szCs w:val="23"/>
        </w:rPr>
        <w:t xml:space="preserve"> which may, in turn, influence their preference for public vs. private sector employment.</w:t>
      </w:r>
    </w:p>
    <w:p w:rsidR="00190514" w:rsidRPr="00BC22F7" w:rsidRDefault="00190514" w:rsidP="008A026D">
      <w:pPr>
        <w:spacing w:after="0" w:line="240" w:lineRule="auto"/>
        <w:rPr>
          <w:rFonts w:ascii="Tahoma" w:hAnsi="Tahoma" w:cs="Tahoma"/>
          <w:sz w:val="23"/>
          <w:szCs w:val="23"/>
        </w:rPr>
      </w:pPr>
    </w:p>
    <w:p w:rsidR="00DB2FFF" w:rsidRPr="00BC22F7" w:rsidRDefault="00F70F43">
      <w:pPr>
        <w:spacing w:after="0" w:line="240" w:lineRule="auto"/>
        <w:ind w:firstLine="720"/>
        <w:rPr>
          <w:rFonts w:ascii="Tahoma" w:hAnsi="Tahoma" w:cs="Tahoma"/>
          <w:sz w:val="23"/>
          <w:szCs w:val="23"/>
        </w:rPr>
      </w:pPr>
      <w:r w:rsidRPr="00BC22F7">
        <w:rPr>
          <w:rFonts w:ascii="Tahoma" w:hAnsi="Tahoma" w:cs="Tahoma"/>
          <w:sz w:val="23"/>
          <w:szCs w:val="23"/>
        </w:rPr>
        <w:t xml:space="preserve">Drawing on person-organization fit theory, we propose that individuals’ work values will be instrumental in determining an individual’s attraction to the public sector. </w:t>
      </w:r>
      <w:r w:rsidR="000F47A1" w:rsidRPr="00BC22F7">
        <w:rPr>
          <w:rFonts w:ascii="Tahoma" w:hAnsi="Tahoma" w:cs="Tahoma"/>
          <w:sz w:val="23"/>
          <w:szCs w:val="23"/>
        </w:rPr>
        <w:t>Chatman (1989)</w:t>
      </w:r>
      <w:r w:rsidRPr="00BC22F7">
        <w:rPr>
          <w:rFonts w:ascii="Tahoma" w:hAnsi="Tahoma" w:cs="Tahoma"/>
          <w:sz w:val="23"/>
          <w:szCs w:val="23"/>
        </w:rPr>
        <w:t xml:space="preserve"> defined P-O fit as the “congruence between organizational values and individual values.” Applied to career choice decisions, if an individual sees a fit between </w:t>
      </w:r>
      <w:r w:rsidR="00AE011E" w:rsidRPr="00BC22F7">
        <w:rPr>
          <w:rFonts w:ascii="Tahoma" w:hAnsi="Tahoma" w:cs="Tahoma"/>
          <w:sz w:val="23"/>
          <w:szCs w:val="23"/>
        </w:rPr>
        <w:t xml:space="preserve">an individual’s </w:t>
      </w:r>
      <w:r w:rsidRPr="00BC22F7">
        <w:rPr>
          <w:rFonts w:ascii="Tahoma" w:hAnsi="Tahoma" w:cs="Tahoma"/>
          <w:sz w:val="23"/>
          <w:szCs w:val="23"/>
        </w:rPr>
        <w:t xml:space="preserve">work values and the values supported by the public sector, </w:t>
      </w:r>
      <w:r w:rsidR="00AE011E" w:rsidRPr="00BC22F7">
        <w:rPr>
          <w:rFonts w:ascii="Tahoma" w:hAnsi="Tahoma" w:cs="Tahoma"/>
          <w:sz w:val="23"/>
          <w:szCs w:val="23"/>
        </w:rPr>
        <w:t xml:space="preserve">the individual </w:t>
      </w:r>
      <w:r w:rsidRPr="00BC22F7">
        <w:rPr>
          <w:rFonts w:ascii="Tahoma" w:hAnsi="Tahoma" w:cs="Tahoma"/>
          <w:sz w:val="23"/>
          <w:szCs w:val="23"/>
        </w:rPr>
        <w:t>will be more</w:t>
      </w:r>
      <w:r w:rsidR="007E2B9C" w:rsidRPr="00BC22F7">
        <w:rPr>
          <w:rFonts w:ascii="Tahoma" w:hAnsi="Tahoma" w:cs="Tahoma"/>
          <w:sz w:val="23"/>
          <w:szCs w:val="23"/>
        </w:rPr>
        <w:t xml:space="preserve"> attracted to employment in </w:t>
      </w:r>
      <w:r w:rsidRPr="00BC22F7">
        <w:rPr>
          <w:rFonts w:ascii="Tahoma" w:hAnsi="Tahoma" w:cs="Tahoma"/>
          <w:sz w:val="23"/>
          <w:szCs w:val="23"/>
        </w:rPr>
        <w:t>public sector</w:t>
      </w:r>
      <w:r w:rsidR="007E2B9C" w:rsidRPr="00BC22F7">
        <w:rPr>
          <w:rFonts w:ascii="Tahoma" w:hAnsi="Tahoma" w:cs="Tahoma"/>
          <w:sz w:val="23"/>
          <w:szCs w:val="23"/>
        </w:rPr>
        <w:t xml:space="preserve"> organizations</w:t>
      </w:r>
      <w:r w:rsidRPr="00BC22F7">
        <w:rPr>
          <w:rFonts w:ascii="Tahoma" w:hAnsi="Tahoma" w:cs="Tahoma"/>
          <w:sz w:val="23"/>
          <w:szCs w:val="23"/>
        </w:rPr>
        <w:t xml:space="preserve">. Consistent with this perspective, research has reported that P-O fit mediates the relationship between public service motivation and </w:t>
      </w:r>
      <w:r w:rsidR="007E2B9C" w:rsidRPr="00BC22F7">
        <w:rPr>
          <w:rFonts w:ascii="Tahoma" w:hAnsi="Tahoma" w:cs="Tahoma"/>
          <w:sz w:val="23"/>
          <w:szCs w:val="23"/>
        </w:rPr>
        <w:t xml:space="preserve">employee </w:t>
      </w:r>
      <w:r w:rsidRPr="00BC22F7">
        <w:rPr>
          <w:rFonts w:ascii="Tahoma" w:hAnsi="Tahoma" w:cs="Tahoma"/>
          <w:sz w:val="23"/>
          <w:szCs w:val="23"/>
        </w:rPr>
        <w:t>work attitudes (W</w:t>
      </w:r>
      <w:r w:rsidR="00BE23A8" w:rsidRPr="00BC22F7">
        <w:rPr>
          <w:rFonts w:ascii="Tahoma" w:hAnsi="Tahoma" w:cs="Tahoma"/>
          <w:sz w:val="23"/>
          <w:szCs w:val="23"/>
        </w:rPr>
        <w:t xml:space="preserve">right &amp; </w:t>
      </w:r>
      <w:proofErr w:type="spellStart"/>
      <w:r w:rsidR="00BE23A8" w:rsidRPr="00BC22F7">
        <w:rPr>
          <w:rFonts w:ascii="Tahoma" w:hAnsi="Tahoma" w:cs="Tahoma"/>
          <w:sz w:val="23"/>
          <w:szCs w:val="23"/>
        </w:rPr>
        <w:t>Pandey</w:t>
      </w:r>
      <w:proofErr w:type="spellEnd"/>
      <w:r w:rsidR="00BE23A8" w:rsidRPr="00BC22F7">
        <w:rPr>
          <w:rFonts w:ascii="Tahoma" w:hAnsi="Tahoma" w:cs="Tahoma"/>
          <w:sz w:val="23"/>
          <w:szCs w:val="23"/>
        </w:rPr>
        <w:t>, 2008; Kim 2012)</w:t>
      </w:r>
      <w:r w:rsidR="00477FEB" w:rsidRPr="00BC22F7">
        <w:rPr>
          <w:rFonts w:ascii="Tahoma" w:hAnsi="Tahoma" w:cs="Tahoma"/>
          <w:sz w:val="23"/>
          <w:szCs w:val="23"/>
        </w:rPr>
        <w:t>, thereby</w:t>
      </w:r>
      <w:r w:rsidR="00BE23A8" w:rsidRPr="00BC22F7">
        <w:rPr>
          <w:rFonts w:ascii="Tahoma" w:hAnsi="Tahoma" w:cs="Tahoma"/>
          <w:sz w:val="23"/>
          <w:szCs w:val="23"/>
        </w:rPr>
        <w:t xml:space="preserve"> underlining the importance of P-O fit in predicting career outcomes. </w:t>
      </w:r>
      <w:r w:rsidR="00A7424F" w:rsidRPr="00BC22F7">
        <w:rPr>
          <w:rFonts w:ascii="Tahoma" w:hAnsi="Tahoma" w:cs="Tahoma"/>
          <w:sz w:val="23"/>
          <w:szCs w:val="23"/>
        </w:rPr>
        <w:t xml:space="preserve">The present study contributes to extant literature on </w:t>
      </w:r>
      <w:r w:rsidR="009A67DE" w:rsidRPr="00BC22F7">
        <w:rPr>
          <w:rFonts w:ascii="Tahoma" w:hAnsi="Tahoma" w:cs="Tahoma"/>
          <w:sz w:val="23"/>
          <w:szCs w:val="23"/>
        </w:rPr>
        <w:t xml:space="preserve">representative bureaucracy and </w:t>
      </w:r>
      <w:r w:rsidR="005059FE" w:rsidRPr="00BC22F7">
        <w:rPr>
          <w:rFonts w:ascii="Tahoma" w:hAnsi="Tahoma" w:cs="Tahoma"/>
          <w:sz w:val="23"/>
          <w:szCs w:val="23"/>
        </w:rPr>
        <w:t xml:space="preserve">career choice in the </w:t>
      </w:r>
      <w:r w:rsidR="00655656" w:rsidRPr="00BC22F7">
        <w:rPr>
          <w:rFonts w:ascii="Tahoma" w:hAnsi="Tahoma" w:cs="Tahoma"/>
          <w:sz w:val="23"/>
          <w:szCs w:val="23"/>
        </w:rPr>
        <w:t xml:space="preserve">public service </w:t>
      </w:r>
      <w:r w:rsidR="009A67DE" w:rsidRPr="00BC22F7">
        <w:rPr>
          <w:rFonts w:ascii="Tahoma" w:hAnsi="Tahoma" w:cs="Tahoma"/>
          <w:sz w:val="23"/>
          <w:szCs w:val="23"/>
        </w:rPr>
        <w:t xml:space="preserve">in three ways. </w:t>
      </w:r>
      <w:r w:rsidR="003A52DE" w:rsidRPr="00BC22F7">
        <w:rPr>
          <w:rFonts w:ascii="Tahoma" w:hAnsi="Tahoma" w:cs="Tahoma"/>
          <w:sz w:val="23"/>
          <w:szCs w:val="23"/>
        </w:rPr>
        <w:t xml:space="preserve">First, we examine </w:t>
      </w:r>
      <w:r w:rsidR="006D24EC" w:rsidRPr="00BC22F7">
        <w:rPr>
          <w:rFonts w:ascii="Tahoma" w:hAnsi="Tahoma" w:cs="Tahoma"/>
          <w:sz w:val="23"/>
          <w:szCs w:val="23"/>
        </w:rPr>
        <w:t xml:space="preserve">differences in public service attraction among five demographic groups that are underrepresented in the public sector. </w:t>
      </w:r>
      <w:r w:rsidR="007E2B9C" w:rsidRPr="00BC22F7">
        <w:rPr>
          <w:rFonts w:ascii="Tahoma" w:hAnsi="Tahoma" w:cs="Tahoma"/>
          <w:sz w:val="23"/>
          <w:szCs w:val="23"/>
        </w:rPr>
        <w:t>The minority groups investigated in this study include the four designated groups (i.e., Aboriginal peoples, persons with disabilities, visible minorities, and women) formally recognized under the federal Employment Equity Act (EEA) as having historically faced discrimination in the workplace (Haq &amp; N</w:t>
      </w:r>
      <w:r w:rsidR="00477FEB" w:rsidRPr="00BC22F7">
        <w:rPr>
          <w:rFonts w:ascii="Tahoma" w:hAnsi="Tahoma" w:cs="Tahoma"/>
          <w:sz w:val="23"/>
          <w:szCs w:val="23"/>
        </w:rPr>
        <w:t>g, 2010). Moreover, we are also examin</w:t>
      </w:r>
      <w:r w:rsidR="00AE011E" w:rsidRPr="00BC22F7">
        <w:rPr>
          <w:rFonts w:ascii="Tahoma" w:hAnsi="Tahoma" w:cs="Tahoma"/>
          <w:sz w:val="23"/>
          <w:szCs w:val="23"/>
        </w:rPr>
        <w:t>ing</w:t>
      </w:r>
      <w:r w:rsidR="00477FEB" w:rsidRPr="00BC22F7">
        <w:rPr>
          <w:rFonts w:ascii="Tahoma" w:hAnsi="Tahoma" w:cs="Tahoma"/>
          <w:sz w:val="23"/>
          <w:szCs w:val="23"/>
        </w:rPr>
        <w:t xml:space="preserve"> the </w:t>
      </w:r>
      <w:r w:rsidR="007E2B9C" w:rsidRPr="00BC22F7">
        <w:rPr>
          <w:rFonts w:ascii="Tahoma" w:hAnsi="Tahoma" w:cs="Tahoma"/>
          <w:sz w:val="23"/>
          <w:szCs w:val="23"/>
        </w:rPr>
        <w:t>career preferences of sexual minorities (LGBT people), an understudied minority group who were not part of the original EEA but were subsequently protected under the Canadian Charter of Rights in 1995</w:t>
      </w:r>
      <w:r w:rsidR="007E2B9C" w:rsidRPr="00BC22F7">
        <w:rPr>
          <w:rStyle w:val="FootnoteReference"/>
          <w:rFonts w:ascii="Tahoma" w:hAnsi="Tahoma" w:cs="Tahoma"/>
          <w:sz w:val="23"/>
          <w:szCs w:val="23"/>
        </w:rPr>
        <w:footnoteReference w:id="3"/>
      </w:r>
      <w:r w:rsidR="007E2B9C" w:rsidRPr="00BC22F7">
        <w:rPr>
          <w:rFonts w:ascii="Tahoma" w:hAnsi="Tahoma" w:cs="Tahoma"/>
          <w:sz w:val="23"/>
          <w:szCs w:val="23"/>
        </w:rPr>
        <w:t xml:space="preserve">. </w:t>
      </w:r>
      <w:r w:rsidR="003A52DE" w:rsidRPr="00BC22F7">
        <w:rPr>
          <w:rFonts w:ascii="Tahoma" w:hAnsi="Tahoma" w:cs="Tahoma"/>
          <w:sz w:val="23"/>
          <w:szCs w:val="23"/>
        </w:rPr>
        <w:t xml:space="preserve">It is important to </w:t>
      </w:r>
      <w:r w:rsidR="008D599F" w:rsidRPr="00BC22F7">
        <w:rPr>
          <w:rFonts w:ascii="Tahoma" w:hAnsi="Tahoma" w:cs="Tahoma"/>
          <w:sz w:val="23"/>
          <w:szCs w:val="23"/>
        </w:rPr>
        <w:t xml:space="preserve">study underrepresented </w:t>
      </w:r>
      <w:r w:rsidR="00C07D82" w:rsidRPr="00BC22F7">
        <w:rPr>
          <w:rFonts w:ascii="Tahoma" w:hAnsi="Tahoma" w:cs="Tahoma"/>
          <w:sz w:val="23"/>
          <w:szCs w:val="23"/>
        </w:rPr>
        <w:t xml:space="preserve">groups </w:t>
      </w:r>
      <w:r w:rsidR="003A52DE" w:rsidRPr="00BC22F7">
        <w:rPr>
          <w:rFonts w:ascii="Tahoma" w:hAnsi="Tahoma" w:cs="Tahoma"/>
          <w:sz w:val="23"/>
          <w:szCs w:val="23"/>
        </w:rPr>
        <w:t xml:space="preserve">because they are an emerging segment of the population and </w:t>
      </w:r>
      <w:r w:rsidR="008D599F" w:rsidRPr="00BC22F7">
        <w:rPr>
          <w:rFonts w:ascii="Tahoma" w:hAnsi="Tahoma" w:cs="Tahoma"/>
          <w:sz w:val="23"/>
          <w:szCs w:val="23"/>
        </w:rPr>
        <w:t xml:space="preserve">they also </w:t>
      </w:r>
      <w:r w:rsidR="003A52DE" w:rsidRPr="00BC22F7">
        <w:rPr>
          <w:rFonts w:ascii="Tahoma" w:hAnsi="Tahoma" w:cs="Tahoma"/>
          <w:sz w:val="23"/>
          <w:szCs w:val="23"/>
        </w:rPr>
        <w:t xml:space="preserve">provide the </w:t>
      </w:r>
      <w:r w:rsidR="006D24EC" w:rsidRPr="00BC22F7">
        <w:rPr>
          <w:rFonts w:ascii="Tahoma" w:hAnsi="Tahoma" w:cs="Tahoma"/>
          <w:sz w:val="23"/>
          <w:szCs w:val="23"/>
        </w:rPr>
        <w:t xml:space="preserve">foundation for </w:t>
      </w:r>
      <w:r w:rsidR="005059FE" w:rsidRPr="00BC22F7">
        <w:rPr>
          <w:rFonts w:ascii="Tahoma" w:hAnsi="Tahoma" w:cs="Tahoma"/>
          <w:sz w:val="23"/>
          <w:szCs w:val="23"/>
        </w:rPr>
        <w:t xml:space="preserve">the development and maintenance of a </w:t>
      </w:r>
      <w:r w:rsidR="003A52DE" w:rsidRPr="00BC22F7">
        <w:rPr>
          <w:rFonts w:ascii="Tahoma" w:hAnsi="Tahoma" w:cs="Tahoma"/>
          <w:sz w:val="23"/>
          <w:szCs w:val="23"/>
        </w:rPr>
        <w:t xml:space="preserve">representative bureaucracy </w:t>
      </w:r>
      <w:r w:rsidR="008D599F" w:rsidRPr="00BC22F7">
        <w:rPr>
          <w:rFonts w:ascii="Tahoma" w:hAnsi="Tahoma" w:cs="Tahoma"/>
          <w:sz w:val="23"/>
          <w:szCs w:val="23"/>
        </w:rPr>
        <w:t>(Lewis &amp; Pitts, 2011)</w:t>
      </w:r>
      <w:r w:rsidR="003A52DE" w:rsidRPr="00BC22F7">
        <w:rPr>
          <w:rFonts w:ascii="Tahoma" w:hAnsi="Tahoma" w:cs="Tahoma"/>
          <w:sz w:val="23"/>
          <w:szCs w:val="23"/>
        </w:rPr>
        <w:t xml:space="preserve">.  Second, we utilize a </w:t>
      </w:r>
      <w:r w:rsidR="00C07D82" w:rsidRPr="00BC22F7">
        <w:rPr>
          <w:rFonts w:ascii="Tahoma" w:hAnsi="Tahoma" w:cs="Tahoma"/>
          <w:sz w:val="23"/>
          <w:szCs w:val="23"/>
        </w:rPr>
        <w:t xml:space="preserve">sample who are not yet employed in the public sector, and who are about to embark on their first careers. </w:t>
      </w:r>
      <w:r w:rsidR="00A8649C" w:rsidRPr="00BC22F7">
        <w:rPr>
          <w:rFonts w:ascii="Tahoma" w:hAnsi="Tahoma" w:cs="Tahoma"/>
          <w:sz w:val="23"/>
          <w:szCs w:val="23"/>
        </w:rPr>
        <w:t>Focusing on pre-</w:t>
      </w:r>
      <w:r w:rsidR="007E579A" w:rsidRPr="00BC22F7">
        <w:rPr>
          <w:rFonts w:ascii="Tahoma" w:hAnsi="Tahoma" w:cs="Tahoma"/>
          <w:sz w:val="23"/>
          <w:szCs w:val="23"/>
        </w:rPr>
        <w:t>service</w:t>
      </w:r>
      <w:r w:rsidR="00A8649C" w:rsidRPr="00BC22F7">
        <w:rPr>
          <w:rFonts w:ascii="Tahoma" w:hAnsi="Tahoma" w:cs="Tahoma"/>
          <w:sz w:val="23"/>
          <w:szCs w:val="23"/>
        </w:rPr>
        <w:t xml:space="preserve"> individuals can reduce cognitive dissonance</w:t>
      </w:r>
      <w:r w:rsidR="007E579A" w:rsidRPr="00BC22F7">
        <w:rPr>
          <w:rFonts w:ascii="Tahoma" w:hAnsi="Tahoma" w:cs="Tahoma"/>
          <w:sz w:val="23"/>
          <w:szCs w:val="23"/>
        </w:rPr>
        <w:t>,</w:t>
      </w:r>
      <w:r w:rsidR="00A8649C" w:rsidRPr="00BC22F7">
        <w:rPr>
          <w:rFonts w:ascii="Tahoma" w:hAnsi="Tahoma" w:cs="Tahoma"/>
          <w:sz w:val="23"/>
          <w:szCs w:val="23"/>
        </w:rPr>
        <w:t xml:space="preserve"> </w:t>
      </w:r>
      <w:r w:rsidR="007E579A" w:rsidRPr="00BC22F7">
        <w:rPr>
          <w:rFonts w:ascii="Tahoma" w:hAnsi="Tahoma" w:cs="Tahoma"/>
          <w:sz w:val="23"/>
          <w:szCs w:val="23"/>
        </w:rPr>
        <w:t>since post-</w:t>
      </w:r>
      <w:r w:rsidR="00A8649C" w:rsidRPr="00BC22F7">
        <w:rPr>
          <w:rFonts w:ascii="Tahoma" w:hAnsi="Tahoma" w:cs="Tahoma"/>
          <w:sz w:val="23"/>
          <w:szCs w:val="23"/>
        </w:rPr>
        <w:t>public service</w:t>
      </w:r>
      <w:r w:rsidR="008D599F" w:rsidRPr="00BC22F7">
        <w:rPr>
          <w:rFonts w:ascii="Tahoma" w:hAnsi="Tahoma" w:cs="Tahoma"/>
          <w:sz w:val="23"/>
          <w:szCs w:val="23"/>
        </w:rPr>
        <w:t xml:space="preserve"> </w:t>
      </w:r>
      <w:r w:rsidR="00A8649C" w:rsidRPr="00BC22F7">
        <w:rPr>
          <w:rFonts w:ascii="Tahoma" w:hAnsi="Tahoma" w:cs="Tahoma"/>
          <w:sz w:val="23"/>
          <w:szCs w:val="23"/>
        </w:rPr>
        <w:t xml:space="preserve">socialization could confound an individual’s </w:t>
      </w:r>
      <w:r w:rsidR="00A8649C" w:rsidRPr="00BC22F7">
        <w:rPr>
          <w:rFonts w:ascii="Tahoma" w:hAnsi="Tahoma" w:cs="Tahoma"/>
          <w:sz w:val="23"/>
          <w:szCs w:val="23"/>
        </w:rPr>
        <w:lastRenderedPageBreak/>
        <w:t xml:space="preserve">responses in their </w:t>
      </w:r>
      <w:proofErr w:type="spellStart"/>
      <w:r w:rsidR="00A8649C" w:rsidRPr="00BC22F7">
        <w:rPr>
          <w:rFonts w:ascii="Tahoma" w:hAnsi="Tahoma" w:cs="Tahoma"/>
          <w:sz w:val="23"/>
          <w:szCs w:val="23"/>
        </w:rPr>
        <w:t>sectoral</w:t>
      </w:r>
      <w:proofErr w:type="spellEnd"/>
      <w:r w:rsidR="00A8649C" w:rsidRPr="00BC22F7">
        <w:rPr>
          <w:rFonts w:ascii="Tahoma" w:hAnsi="Tahoma" w:cs="Tahoma"/>
          <w:sz w:val="23"/>
          <w:szCs w:val="23"/>
        </w:rPr>
        <w:t xml:space="preserve"> choice (Carpenter et al., 2012; </w:t>
      </w:r>
      <w:proofErr w:type="spellStart"/>
      <w:r w:rsidR="00A8649C" w:rsidRPr="00BC22F7">
        <w:rPr>
          <w:rFonts w:ascii="Tahoma" w:hAnsi="Tahoma" w:cs="Tahoma"/>
          <w:sz w:val="23"/>
          <w:szCs w:val="23"/>
        </w:rPr>
        <w:t>Clerkin</w:t>
      </w:r>
      <w:proofErr w:type="spellEnd"/>
      <w:r w:rsidR="00A8649C" w:rsidRPr="00BC22F7">
        <w:rPr>
          <w:rFonts w:ascii="Tahoma" w:hAnsi="Tahoma" w:cs="Tahoma"/>
          <w:sz w:val="23"/>
          <w:szCs w:val="23"/>
        </w:rPr>
        <w:t xml:space="preserve"> &amp; </w:t>
      </w:r>
      <w:proofErr w:type="spellStart"/>
      <w:r w:rsidR="00A8649C" w:rsidRPr="00BC22F7">
        <w:rPr>
          <w:rFonts w:ascii="Tahoma" w:hAnsi="Tahoma" w:cs="Tahoma"/>
          <w:sz w:val="23"/>
          <w:szCs w:val="23"/>
        </w:rPr>
        <w:t>Coggburn</w:t>
      </w:r>
      <w:proofErr w:type="spellEnd"/>
      <w:r w:rsidR="00A8649C" w:rsidRPr="00BC22F7">
        <w:rPr>
          <w:rFonts w:ascii="Tahoma" w:hAnsi="Tahoma" w:cs="Tahoma"/>
          <w:sz w:val="23"/>
          <w:szCs w:val="23"/>
        </w:rPr>
        <w:t xml:space="preserve">, 2012).  </w:t>
      </w:r>
      <w:r w:rsidR="00BE23A8" w:rsidRPr="00BC22F7">
        <w:rPr>
          <w:rFonts w:ascii="Tahoma" w:hAnsi="Tahoma" w:cs="Tahoma"/>
          <w:sz w:val="23"/>
          <w:szCs w:val="23"/>
        </w:rPr>
        <w:t>Building on prior work examining public service attraction among current employees (e.g., Lewis &amp; Frank, 2002), o</w:t>
      </w:r>
      <w:r w:rsidR="00A8649C" w:rsidRPr="00BC22F7">
        <w:rPr>
          <w:rFonts w:ascii="Tahoma" w:hAnsi="Tahoma" w:cs="Tahoma"/>
          <w:sz w:val="23"/>
          <w:szCs w:val="23"/>
        </w:rPr>
        <w:t xml:space="preserve">ur sample is comprised of </w:t>
      </w:r>
      <w:proofErr w:type="spellStart"/>
      <w:r w:rsidR="00A8649C" w:rsidRPr="00BC22F7">
        <w:rPr>
          <w:rFonts w:ascii="Tahoma" w:hAnsi="Tahoma" w:cs="Tahoma"/>
          <w:sz w:val="23"/>
          <w:szCs w:val="23"/>
        </w:rPr>
        <w:t>millennial</w:t>
      </w:r>
      <w:r w:rsidR="001C2C3D" w:rsidRPr="00BC22F7">
        <w:rPr>
          <w:rFonts w:ascii="Tahoma" w:hAnsi="Tahoma" w:cs="Tahoma"/>
          <w:sz w:val="23"/>
          <w:szCs w:val="23"/>
        </w:rPr>
        <w:t>s</w:t>
      </w:r>
      <w:proofErr w:type="spellEnd"/>
      <w:r w:rsidR="001C2C3D" w:rsidRPr="00BC22F7">
        <w:rPr>
          <w:rFonts w:ascii="Tahoma" w:hAnsi="Tahoma" w:cs="Tahoma"/>
          <w:sz w:val="23"/>
          <w:szCs w:val="23"/>
        </w:rPr>
        <w:t xml:space="preserve"> attending colleges and universities, who </w:t>
      </w:r>
      <w:r w:rsidR="007E579A" w:rsidRPr="00BC22F7">
        <w:rPr>
          <w:rFonts w:ascii="Tahoma" w:hAnsi="Tahoma" w:cs="Tahoma"/>
          <w:sz w:val="23"/>
          <w:szCs w:val="23"/>
        </w:rPr>
        <w:t xml:space="preserve">represent the workforce of the future, and </w:t>
      </w:r>
      <w:r w:rsidR="001C2C3D" w:rsidRPr="00BC22F7">
        <w:rPr>
          <w:rFonts w:ascii="Tahoma" w:hAnsi="Tahoma" w:cs="Tahoma"/>
          <w:sz w:val="23"/>
          <w:szCs w:val="23"/>
        </w:rPr>
        <w:t>are a significant source of hires for managerial jobs in government and the private sector</w:t>
      </w:r>
      <w:r w:rsidR="007E579A" w:rsidRPr="00BC22F7">
        <w:rPr>
          <w:rFonts w:ascii="Tahoma" w:hAnsi="Tahoma" w:cs="Tahoma"/>
          <w:sz w:val="23"/>
          <w:szCs w:val="23"/>
        </w:rPr>
        <w:t xml:space="preserve"> </w:t>
      </w:r>
      <w:r w:rsidR="001C2C3D" w:rsidRPr="00BC22F7">
        <w:rPr>
          <w:rFonts w:ascii="Tahoma" w:hAnsi="Tahoma" w:cs="Tahoma"/>
          <w:sz w:val="23"/>
          <w:szCs w:val="23"/>
        </w:rPr>
        <w:t xml:space="preserve">(Ng &amp; Burke, 2006). Third, </w:t>
      </w:r>
      <w:r w:rsidR="00BE23A8" w:rsidRPr="00BC22F7">
        <w:rPr>
          <w:rFonts w:ascii="Tahoma" w:hAnsi="Tahoma" w:cs="Tahoma"/>
          <w:sz w:val="23"/>
          <w:szCs w:val="23"/>
        </w:rPr>
        <w:t xml:space="preserve">using a more comprehensive set of predictor variables, </w:t>
      </w:r>
      <w:r w:rsidR="001C2C3D" w:rsidRPr="00BC22F7">
        <w:rPr>
          <w:rFonts w:ascii="Tahoma" w:hAnsi="Tahoma" w:cs="Tahoma"/>
          <w:sz w:val="23"/>
          <w:szCs w:val="23"/>
        </w:rPr>
        <w:t xml:space="preserve">we extend the literature on public service </w:t>
      </w:r>
      <w:r w:rsidR="00BE23A8" w:rsidRPr="00BC22F7">
        <w:rPr>
          <w:rFonts w:ascii="Tahoma" w:hAnsi="Tahoma" w:cs="Tahoma"/>
          <w:sz w:val="23"/>
          <w:szCs w:val="23"/>
        </w:rPr>
        <w:t>attraction</w:t>
      </w:r>
      <w:r w:rsidR="001C2C3D" w:rsidRPr="00BC22F7">
        <w:rPr>
          <w:rFonts w:ascii="Tahoma" w:hAnsi="Tahoma" w:cs="Tahoma"/>
          <w:sz w:val="23"/>
          <w:szCs w:val="23"/>
        </w:rPr>
        <w:t xml:space="preserve"> by </w:t>
      </w:r>
      <w:r w:rsidR="006F1576" w:rsidRPr="00BC22F7">
        <w:rPr>
          <w:rFonts w:ascii="Tahoma" w:hAnsi="Tahoma" w:cs="Tahoma"/>
          <w:sz w:val="23"/>
          <w:szCs w:val="23"/>
        </w:rPr>
        <w:t xml:space="preserve">identifying a unique set of work values that are predictive of </w:t>
      </w:r>
      <w:r w:rsidR="006D24EC" w:rsidRPr="00BC22F7">
        <w:rPr>
          <w:rFonts w:ascii="Tahoma" w:hAnsi="Tahoma" w:cs="Tahoma"/>
          <w:sz w:val="23"/>
          <w:szCs w:val="23"/>
        </w:rPr>
        <w:t xml:space="preserve">attraction to employment in the </w:t>
      </w:r>
      <w:r w:rsidR="006F1576" w:rsidRPr="00BC22F7">
        <w:rPr>
          <w:rFonts w:ascii="Tahoma" w:hAnsi="Tahoma" w:cs="Tahoma"/>
          <w:sz w:val="23"/>
          <w:szCs w:val="23"/>
        </w:rPr>
        <w:t>public se</w:t>
      </w:r>
      <w:r w:rsidR="006D24EC" w:rsidRPr="00BC22F7">
        <w:rPr>
          <w:rFonts w:ascii="Tahoma" w:hAnsi="Tahoma" w:cs="Tahoma"/>
          <w:sz w:val="23"/>
          <w:szCs w:val="23"/>
        </w:rPr>
        <w:t xml:space="preserve">ctor </w:t>
      </w:r>
      <w:proofErr w:type="spellStart"/>
      <w:r w:rsidR="007E2B9C" w:rsidRPr="00BC22F7">
        <w:rPr>
          <w:rFonts w:ascii="Tahoma" w:hAnsi="Tahoma" w:cs="Tahoma"/>
          <w:sz w:val="23"/>
          <w:szCs w:val="23"/>
        </w:rPr>
        <w:t>vis</w:t>
      </w:r>
      <w:proofErr w:type="spellEnd"/>
      <w:r w:rsidR="007E2B9C" w:rsidRPr="00BC22F7">
        <w:rPr>
          <w:rFonts w:ascii="Tahoma" w:hAnsi="Tahoma" w:cs="Tahoma"/>
          <w:sz w:val="23"/>
          <w:szCs w:val="23"/>
        </w:rPr>
        <w:t>-a-</w:t>
      </w:r>
      <w:proofErr w:type="spellStart"/>
      <w:r w:rsidR="007E2B9C" w:rsidRPr="00BC22F7">
        <w:rPr>
          <w:rFonts w:ascii="Tahoma" w:hAnsi="Tahoma" w:cs="Tahoma"/>
          <w:sz w:val="23"/>
          <w:szCs w:val="23"/>
        </w:rPr>
        <w:t>vis</w:t>
      </w:r>
      <w:proofErr w:type="spellEnd"/>
      <w:r w:rsidR="006D24EC" w:rsidRPr="00BC22F7">
        <w:rPr>
          <w:rFonts w:ascii="Tahoma" w:hAnsi="Tahoma" w:cs="Tahoma"/>
          <w:sz w:val="23"/>
          <w:szCs w:val="23"/>
        </w:rPr>
        <w:t xml:space="preserve"> the private </w:t>
      </w:r>
      <w:r w:rsidR="00BE23A8" w:rsidRPr="00BC22F7">
        <w:rPr>
          <w:rFonts w:ascii="Tahoma" w:hAnsi="Tahoma" w:cs="Tahoma"/>
          <w:sz w:val="23"/>
          <w:szCs w:val="23"/>
        </w:rPr>
        <w:t xml:space="preserve">sector. </w:t>
      </w:r>
      <w:r w:rsidR="00477FEB" w:rsidRPr="00BC22F7">
        <w:rPr>
          <w:rFonts w:ascii="Tahoma" w:hAnsi="Tahoma" w:cs="Tahoma"/>
          <w:sz w:val="23"/>
          <w:szCs w:val="23"/>
        </w:rPr>
        <w:t xml:space="preserve">Moreover, </w:t>
      </w:r>
      <w:r w:rsidR="00BE23A8" w:rsidRPr="00BC22F7">
        <w:rPr>
          <w:rFonts w:ascii="Tahoma" w:hAnsi="Tahoma" w:cs="Tahoma"/>
          <w:sz w:val="23"/>
          <w:szCs w:val="23"/>
        </w:rPr>
        <w:t xml:space="preserve">we specifically </w:t>
      </w:r>
      <w:r w:rsidR="006D24EC" w:rsidRPr="00BC22F7">
        <w:rPr>
          <w:rFonts w:ascii="Tahoma" w:hAnsi="Tahoma" w:cs="Tahoma"/>
          <w:sz w:val="23"/>
          <w:szCs w:val="23"/>
        </w:rPr>
        <w:t>investigate</w:t>
      </w:r>
      <w:r w:rsidR="00D66851" w:rsidRPr="00BC22F7">
        <w:rPr>
          <w:rFonts w:ascii="Tahoma" w:hAnsi="Tahoma" w:cs="Tahoma"/>
          <w:sz w:val="23"/>
          <w:szCs w:val="23"/>
        </w:rPr>
        <w:t xml:space="preserve"> </w:t>
      </w:r>
      <w:r w:rsidR="001C2C3D" w:rsidRPr="00BC22F7">
        <w:rPr>
          <w:rFonts w:ascii="Tahoma" w:hAnsi="Tahoma" w:cs="Tahoma"/>
          <w:sz w:val="23"/>
          <w:szCs w:val="23"/>
        </w:rPr>
        <w:t>how minority group member</w:t>
      </w:r>
      <w:r w:rsidR="00BE23A8" w:rsidRPr="00BC22F7">
        <w:rPr>
          <w:rFonts w:ascii="Tahoma" w:hAnsi="Tahoma" w:cs="Tahoma"/>
          <w:sz w:val="23"/>
          <w:szCs w:val="23"/>
        </w:rPr>
        <w:t xml:space="preserve">s </w:t>
      </w:r>
      <w:r w:rsidR="009A47C8" w:rsidRPr="00BC22F7">
        <w:rPr>
          <w:rFonts w:ascii="Tahoma" w:hAnsi="Tahoma" w:cs="Tahoma"/>
          <w:sz w:val="23"/>
          <w:szCs w:val="23"/>
        </w:rPr>
        <w:t xml:space="preserve">may differ in </w:t>
      </w:r>
      <w:r w:rsidR="000B6D0D" w:rsidRPr="00BC22F7">
        <w:rPr>
          <w:rFonts w:ascii="Tahoma" w:hAnsi="Tahoma" w:cs="Tahoma"/>
          <w:sz w:val="23"/>
          <w:szCs w:val="23"/>
        </w:rPr>
        <w:t>th</w:t>
      </w:r>
      <w:r w:rsidR="0050326E" w:rsidRPr="00BC22F7">
        <w:rPr>
          <w:rFonts w:ascii="Tahoma" w:hAnsi="Tahoma" w:cs="Tahoma"/>
          <w:sz w:val="23"/>
          <w:szCs w:val="23"/>
        </w:rPr>
        <w:t>ese</w:t>
      </w:r>
      <w:r w:rsidR="006D24EC" w:rsidRPr="00BC22F7">
        <w:rPr>
          <w:rFonts w:ascii="Tahoma" w:hAnsi="Tahoma" w:cs="Tahoma"/>
          <w:sz w:val="23"/>
          <w:szCs w:val="23"/>
        </w:rPr>
        <w:t xml:space="preserve"> </w:t>
      </w:r>
      <w:r w:rsidR="009A47C8" w:rsidRPr="00BC22F7">
        <w:rPr>
          <w:rFonts w:ascii="Tahoma" w:hAnsi="Tahoma" w:cs="Tahoma"/>
          <w:sz w:val="23"/>
          <w:szCs w:val="23"/>
        </w:rPr>
        <w:t xml:space="preserve">work values </w:t>
      </w:r>
      <w:r w:rsidR="006D24EC" w:rsidRPr="00BC22F7">
        <w:rPr>
          <w:rFonts w:ascii="Tahoma" w:hAnsi="Tahoma" w:cs="Tahoma"/>
          <w:sz w:val="23"/>
          <w:szCs w:val="23"/>
        </w:rPr>
        <w:t xml:space="preserve">compared to </w:t>
      </w:r>
      <w:r w:rsidR="009A47C8" w:rsidRPr="00BC22F7">
        <w:rPr>
          <w:rFonts w:ascii="Tahoma" w:hAnsi="Tahoma" w:cs="Tahoma"/>
          <w:sz w:val="23"/>
          <w:szCs w:val="23"/>
        </w:rPr>
        <w:t>majority group members.</w:t>
      </w:r>
      <w:r w:rsidR="00BE23A8" w:rsidRPr="00BC22F7">
        <w:rPr>
          <w:rFonts w:ascii="Tahoma" w:hAnsi="Tahoma" w:cs="Tahoma"/>
          <w:sz w:val="23"/>
          <w:szCs w:val="23"/>
        </w:rPr>
        <w:t xml:space="preserve"> </w:t>
      </w:r>
      <w:r w:rsidR="006D24EC" w:rsidRPr="00BC22F7">
        <w:rPr>
          <w:rFonts w:ascii="Tahoma" w:hAnsi="Tahoma" w:cs="Tahoma"/>
          <w:sz w:val="23"/>
          <w:szCs w:val="23"/>
        </w:rPr>
        <w:t xml:space="preserve">Taken together, this research </w:t>
      </w:r>
      <w:r w:rsidR="005059FE" w:rsidRPr="00BC22F7">
        <w:rPr>
          <w:rFonts w:ascii="Tahoma" w:hAnsi="Tahoma" w:cs="Tahoma"/>
          <w:sz w:val="23"/>
          <w:szCs w:val="23"/>
        </w:rPr>
        <w:t xml:space="preserve">will deepen our knowledge of the key </w:t>
      </w:r>
      <w:r w:rsidR="00D66851" w:rsidRPr="00BC22F7">
        <w:rPr>
          <w:rFonts w:ascii="Tahoma" w:hAnsi="Tahoma" w:cs="Tahoma"/>
          <w:sz w:val="23"/>
          <w:szCs w:val="23"/>
        </w:rPr>
        <w:t xml:space="preserve">motives underlying public sector attraction, </w:t>
      </w:r>
      <w:r w:rsidR="005059FE" w:rsidRPr="00BC22F7">
        <w:rPr>
          <w:rFonts w:ascii="Tahoma" w:hAnsi="Tahoma" w:cs="Tahoma"/>
          <w:sz w:val="23"/>
          <w:szCs w:val="23"/>
        </w:rPr>
        <w:t xml:space="preserve">which can in </w:t>
      </w:r>
      <w:proofErr w:type="gramStart"/>
      <w:r w:rsidR="005059FE" w:rsidRPr="00BC22F7">
        <w:rPr>
          <w:rFonts w:ascii="Tahoma" w:hAnsi="Tahoma" w:cs="Tahoma"/>
          <w:sz w:val="23"/>
          <w:szCs w:val="23"/>
        </w:rPr>
        <w:t>turn,</w:t>
      </w:r>
      <w:proofErr w:type="gramEnd"/>
      <w:r w:rsidR="005059FE" w:rsidRPr="00BC22F7">
        <w:rPr>
          <w:rFonts w:ascii="Tahoma" w:hAnsi="Tahoma" w:cs="Tahoma"/>
          <w:sz w:val="23"/>
          <w:szCs w:val="23"/>
        </w:rPr>
        <w:t xml:space="preserve"> help to inform policy-making and the design of recruitment </w:t>
      </w:r>
      <w:r w:rsidR="00D66851" w:rsidRPr="00BC22F7">
        <w:rPr>
          <w:rFonts w:ascii="Tahoma" w:hAnsi="Tahoma" w:cs="Tahoma"/>
          <w:sz w:val="23"/>
          <w:szCs w:val="23"/>
        </w:rPr>
        <w:t>initiatives</w:t>
      </w:r>
      <w:r w:rsidR="005059FE" w:rsidRPr="00BC22F7">
        <w:rPr>
          <w:rFonts w:ascii="Tahoma" w:hAnsi="Tahoma" w:cs="Tahoma"/>
          <w:sz w:val="23"/>
          <w:szCs w:val="23"/>
        </w:rPr>
        <w:t xml:space="preserve"> that more effectively attract qualified job seekers from various demographic group</w:t>
      </w:r>
      <w:r w:rsidR="00D66851" w:rsidRPr="00BC22F7">
        <w:rPr>
          <w:rFonts w:ascii="Tahoma" w:hAnsi="Tahoma" w:cs="Tahoma"/>
          <w:sz w:val="23"/>
          <w:szCs w:val="23"/>
        </w:rPr>
        <w:t>s.</w:t>
      </w:r>
    </w:p>
    <w:p w:rsidR="009A67DE" w:rsidRPr="00BC22F7" w:rsidRDefault="009A67DE" w:rsidP="008A026D">
      <w:pPr>
        <w:spacing w:after="0" w:line="240" w:lineRule="auto"/>
        <w:rPr>
          <w:rFonts w:ascii="Tahoma" w:hAnsi="Tahoma" w:cs="Tahoma"/>
          <w:sz w:val="23"/>
          <w:szCs w:val="23"/>
        </w:rPr>
      </w:pPr>
    </w:p>
    <w:p w:rsidR="00A7424F" w:rsidRPr="00BC22F7" w:rsidRDefault="00A7424F" w:rsidP="008A026D">
      <w:pPr>
        <w:spacing w:after="0" w:line="240" w:lineRule="auto"/>
        <w:jc w:val="center"/>
        <w:rPr>
          <w:rFonts w:ascii="Tahoma" w:hAnsi="Tahoma" w:cs="Tahoma"/>
          <w:sz w:val="23"/>
          <w:szCs w:val="23"/>
        </w:rPr>
      </w:pPr>
      <w:r w:rsidRPr="00BC22F7">
        <w:rPr>
          <w:rFonts w:ascii="Tahoma" w:hAnsi="Tahoma" w:cs="Tahoma"/>
          <w:sz w:val="23"/>
          <w:szCs w:val="23"/>
        </w:rPr>
        <w:t>Method</w:t>
      </w:r>
    </w:p>
    <w:p w:rsidR="00D66851" w:rsidRPr="00BC22F7" w:rsidRDefault="00D66851" w:rsidP="008A026D">
      <w:pPr>
        <w:spacing w:after="0" w:line="240" w:lineRule="auto"/>
        <w:rPr>
          <w:rFonts w:ascii="Tahoma" w:hAnsi="Tahoma" w:cs="Tahoma"/>
          <w:b/>
          <w:sz w:val="23"/>
          <w:szCs w:val="23"/>
        </w:rPr>
      </w:pPr>
    </w:p>
    <w:p w:rsidR="009F4FF6" w:rsidRPr="00BC22F7" w:rsidRDefault="009F4FF6" w:rsidP="008A026D">
      <w:pPr>
        <w:spacing w:after="0" w:line="240" w:lineRule="auto"/>
        <w:rPr>
          <w:rFonts w:ascii="Tahoma" w:hAnsi="Tahoma" w:cs="Tahoma"/>
          <w:sz w:val="23"/>
          <w:szCs w:val="23"/>
        </w:rPr>
      </w:pPr>
      <w:r w:rsidRPr="00BC22F7">
        <w:rPr>
          <w:rFonts w:ascii="Tahoma" w:hAnsi="Tahoma" w:cs="Tahoma"/>
          <w:sz w:val="23"/>
          <w:szCs w:val="23"/>
        </w:rPr>
        <w:t>Sample and Methodology</w:t>
      </w:r>
    </w:p>
    <w:p w:rsidR="009F4FF6" w:rsidRPr="00BC22F7" w:rsidRDefault="009F4FF6" w:rsidP="008A026D">
      <w:pPr>
        <w:spacing w:after="0" w:line="240" w:lineRule="auto"/>
        <w:rPr>
          <w:rFonts w:ascii="Tahoma" w:hAnsi="Tahoma" w:cs="Tahoma"/>
          <w:sz w:val="23"/>
          <w:szCs w:val="23"/>
        </w:rPr>
      </w:pPr>
    </w:p>
    <w:p w:rsidR="00DB2FFF" w:rsidRPr="00BC22F7" w:rsidRDefault="00AD12C9">
      <w:pPr>
        <w:spacing w:after="0" w:line="240" w:lineRule="auto"/>
        <w:ind w:firstLine="720"/>
        <w:rPr>
          <w:rFonts w:ascii="Tahoma" w:hAnsi="Tahoma" w:cs="Tahoma"/>
          <w:sz w:val="23"/>
          <w:szCs w:val="23"/>
        </w:rPr>
      </w:pPr>
      <w:r w:rsidRPr="00BC22F7">
        <w:rPr>
          <w:rFonts w:ascii="Tahoma" w:hAnsi="Tahoma" w:cs="Tahoma"/>
          <w:sz w:val="23"/>
          <w:szCs w:val="23"/>
        </w:rPr>
        <w:t>Data for the present study w</w:t>
      </w:r>
      <w:r w:rsidR="00A307DC" w:rsidRPr="00BC22F7">
        <w:rPr>
          <w:rFonts w:ascii="Tahoma" w:hAnsi="Tahoma" w:cs="Tahoma"/>
          <w:sz w:val="23"/>
          <w:szCs w:val="23"/>
        </w:rPr>
        <w:t>ere</w:t>
      </w:r>
      <w:r w:rsidRPr="00BC22F7">
        <w:rPr>
          <w:rFonts w:ascii="Tahoma" w:hAnsi="Tahoma" w:cs="Tahoma"/>
          <w:sz w:val="23"/>
          <w:szCs w:val="23"/>
        </w:rPr>
        <w:t xml:space="preserve"> collected</w:t>
      </w:r>
      <w:r w:rsidR="008363C2" w:rsidRPr="00BC22F7">
        <w:rPr>
          <w:rFonts w:ascii="Tahoma" w:eastAsia="Calibri" w:hAnsi="Tahoma" w:cs="Tahoma"/>
          <w:sz w:val="23"/>
          <w:szCs w:val="23"/>
        </w:rPr>
        <w:t xml:space="preserve"> </w:t>
      </w:r>
      <w:r w:rsidRPr="00BC22F7">
        <w:rPr>
          <w:rFonts w:ascii="Tahoma" w:hAnsi="Tahoma" w:cs="Tahoma"/>
          <w:sz w:val="23"/>
          <w:szCs w:val="23"/>
        </w:rPr>
        <w:t xml:space="preserve">as a part of </w:t>
      </w:r>
      <w:r w:rsidR="00A307DC" w:rsidRPr="00BC22F7">
        <w:rPr>
          <w:rFonts w:ascii="Tahoma" w:hAnsi="Tahoma" w:cs="Tahoma"/>
          <w:sz w:val="23"/>
          <w:szCs w:val="23"/>
        </w:rPr>
        <w:t xml:space="preserve">a large-scale </w:t>
      </w:r>
      <w:r w:rsidRPr="00BC22F7">
        <w:rPr>
          <w:rFonts w:ascii="Tahoma" w:hAnsi="Tahoma" w:cs="Tahoma"/>
          <w:sz w:val="23"/>
          <w:szCs w:val="23"/>
        </w:rPr>
        <w:t>survey</w:t>
      </w:r>
      <w:r w:rsidR="008363C2" w:rsidRPr="00BC22F7">
        <w:rPr>
          <w:rFonts w:ascii="Tahoma" w:hAnsi="Tahoma" w:cs="Tahoma"/>
          <w:sz w:val="23"/>
          <w:szCs w:val="23"/>
        </w:rPr>
        <w:t xml:space="preserve"> commissioned by</w:t>
      </w:r>
      <w:r w:rsidR="008363C2" w:rsidRPr="00BC22F7">
        <w:rPr>
          <w:rFonts w:ascii="Tahoma" w:eastAsia="Calibri" w:hAnsi="Tahoma" w:cs="Tahoma"/>
          <w:sz w:val="23"/>
          <w:szCs w:val="23"/>
        </w:rPr>
        <w:t xml:space="preserve"> a</w:t>
      </w:r>
      <w:r w:rsidRPr="00BC22F7">
        <w:rPr>
          <w:rFonts w:ascii="Tahoma" w:eastAsia="Calibri" w:hAnsi="Tahoma" w:cs="Tahoma"/>
          <w:sz w:val="23"/>
          <w:szCs w:val="23"/>
        </w:rPr>
        <w:t xml:space="preserve"> consortium of large Canadian employers to bette</w:t>
      </w:r>
      <w:r w:rsidR="009F4FF6" w:rsidRPr="00BC22F7">
        <w:rPr>
          <w:rFonts w:ascii="Tahoma" w:eastAsia="Calibri" w:hAnsi="Tahoma" w:cs="Tahoma"/>
          <w:sz w:val="23"/>
          <w:szCs w:val="23"/>
        </w:rPr>
        <w:t>r understand the job</w:t>
      </w:r>
      <w:r w:rsidRPr="00BC22F7">
        <w:rPr>
          <w:rFonts w:ascii="Tahoma" w:eastAsia="Calibri" w:hAnsi="Tahoma" w:cs="Tahoma"/>
          <w:sz w:val="23"/>
          <w:szCs w:val="23"/>
        </w:rPr>
        <w:t xml:space="preserve">, </w:t>
      </w:r>
      <w:r w:rsidR="009F4FF6" w:rsidRPr="00BC22F7">
        <w:rPr>
          <w:rFonts w:ascii="Tahoma" w:eastAsia="Calibri" w:hAnsi="Tahoma" w:cs="Tahoma"/>
          <w:sz w:val="23"/>
          <w:szCs w:val="23"/>
        </w:rPr>
        <w:t xml:space="preserve">organizational, and career preferences of post-secondary students. </w:t>
      </w:r>
      <w:r w:rsidR="00BE23A8" w:rsidRPr="00BC22F7">
        <w:rPr>
          <w:rFonts w:ascii="Tahoma" w:eastAsia="Calibri" w:hAnsi="Tahoma" w:cs="Tahoma"/>
          <w:sz w:val="23"/>
          <w:szCs w:val="23"/>
        </w:rPr>
        <w:t xml:space="preserve">Participants were college and university students from across Canada who responded to the web survey administered at the Career Services Office at their college/university. </w:t>
      </w:r>
      <w:r w:rsidR="009F4FF6" w:rsidRPr="00BC22F7">
        <w:rPr>
          <w:rFonts w:ascii="Tahoma" w:eastAsia="Calibri" w:hAnsi="Tahoma" w:cs="Tahoma"/>
          <w:sz w:val="23"/>
          <w:szCs w:val="23"/>
        </w:rPr>
        <w:t>In return for their participation, students were offered an opportunity to ent</w:t>
      </w:r>
      <w:r w:rsidR="0099518E" w:rsidRPr="00BC22F7">
        <w:rPr>
          <w:rFonts w:ascii="Tahoma" w:eastAsia="Calibri" w:hAnsi="Tahoma" w:cs="Tahoma"/>
          <w:sz w:val="23"/>
          <w:szCs w:val="23"/>
        </w:rPr>
        <w:t xml:space="preserve">er a draw </w:t>
      </w:r>
      <w:r w:rsidR="00ED408E" w:rsidRPr="00BC22F7">
        <w:rPr>
          <w:rFonts w:ascii="Tahoma" w:eastAsia="Calibri" w:hAnsi="Tahoma" w:cs="Tahoma"/>
          <w:sz w:val="23"/>
          <w:szCs w:val="23"/>
        </w:rPr>
        <w:t xml:space="preserve">for various prizes (e.g., </w:t>
      </w:r>
      <w:proofErr w:type="spellStart"/>
      <w:r w:rsidR="007E579A" w:rsidRPr="00BC22F7">
        <w:rPr>
          <w:rFonts w:ascii="Tahoma" w:eastAsia="Calibri" w:hAnsi="Tahoma" w:cs="Tahoma"/>
          <w:sz w:val="23"/>
          <w:szCs w:val="23"/>
        </w:rPr>
        <w:t>i</w:t>
      </w:r>
      <w:r w:rsidR="009F4FF6" w:rsidRPr="00BC22F7">
        <w:rPr>
          <w:rFonts w:ascii="Tahoma" w:eastAsia="Calibri" w:hAnsi="Tahoma" w:cs="Tahoma"/>
          <w:sz w:val="23"/>
          <w:szCs w:val="23"/>
        </w:rPr>
        <w:t>P</w:t>
      </w:r>
      <w:r w:rsidR="007E579A" w:rsidRPr="00BC22F7">
        <w:rPr>
          <w:rFonts w:ascii="Tahoma" w:eastAsia="Calibri" w:hAnsi="Tahoma" w:cs="Tahoma"/>
          <w:sz w:val="23"/>
          <w:szCs w:val="23"/>
        </w:rPr>
        <w:t>a</w:t>
      </w:r>
      <w:r w:rsidR="009F4FF6" w:rsidRPr="00BC22F7">
        <w:rPr>
          <w:rFonts w:ascii="Tahoma" w:eastAsia="Calibri" w:hAnsi="Tahoma" w:cs="Tahoma"/>
          <w:sz w:val="23"/>
          <w:szCs w:val="23"/>
        </w:rPr>
        <w:t>d</w:t>
      </w:r>
      <w:r w:rsidR="007E579A" w:rsidRPr="00BC22F7">
        <w:rPr>
          <w:rFonts w:ascii="Tahoma" w:eastAsia="Calibri" w:hAnsi="Tahoma" w:cs="Tahoma"/>
          <w:sz w:val="23"/>
          <w:szCs w:val="23"/>
        </w:rPr>
        <w:t>s</w:t>
      </w:r>
      <w:proofErr w:type="spellEnd"/>
      <w:r w:rsidR="00ED408E" w:rsidRPr="00BC22F7">
        <w:rPr>
          <w:rFonts w:ascii="Tahoma" w:eastAsia="Calibri" w:hAnsi="Tahoma" w:cs="Tahoma"/>
          <w:sz w:val="23"/>
          <w:szCs w:val="23"/>
        </w:rPr>
        <w:t>)</w:t>
      </w:r>
      <w:r w:rsidRPr="00BC22F7">
        <w:rPr>
          <w:rFonts w:ascii="Tahoma" w:eastAsia="Calibri" w:hAnsi="Tahoma" w:cs="Tahoma"/>
          <w:sz w:val="23"/>
          <w:szCs w:val="23"/>
        </w:rPr>
        <w:t>.</w:t>
      </w:r>
      <w:r w:rsidR="00BB5B34" w:rsidRPr="00BC22F7">
        <w:rPr>
          <w:rFonts w:ascii="Tahoma" w:eastAsia="Calibri" w:hAnsi="Tahoma" w:cs="Tahoma"/>
          <w:sz w:val="23"/>
          <w:szCs w:val="23"/>
        </w:rPr>
        <w:t xml:space="preserve"> </w:t>
      </w:r>
      <w:r w:rsidR="009F4FF6" w:rsidRPr="00BC22F7">
        <w:rPr>
          <w:rFonts w:ascii="Tahoma" w:eastAsia="Calibri" w:hAnsi="Tahoma" w:cs="Tahoma"/>
          <w:sz w:val="23"/>
          <w:szCs w:val="23"/>
        </w:rPr>
        <w:t xml:space="preserve">Given our interest in students closest to entering the labor market, only students who were expecting to graduate and </w:t>
      </w:r>
      <w:r w:rsidR="000C504E" w:rsidRPr="00BC22F7">
        <w:rPr>
          <w:rFonts w:ascii="Tahoma" w:eastAsia="Calibri" w:hAnsi="Tahoma" w:cs="Tahoma"/>
          <w:sz w:val="23"/>
          <w:szCs w:val="23"/>
        </w:rPr>
        <w:t xml:space="preserve">to </w:t>
      </w:r>
      <w:r w:rsidR="009F4FF6" w:rsidRPr="00BC22F7">
        <w:rPr>
          <w:rFonts w:ascii="Tahoma" w:eastAsia="Calibri" w:hAnsi="Tahoma" w:cs="Tahoma"/>
          <w:sz w:val="23"/>
          <w:szCs w:val="23"/>
        </w:rPr>
        <w:t>seek their first full-time employment within the next year</w:t>
      </w:r>
      <w:r w:rsidR="00106C8C" w:rsidRPr="00BC22F7">
        <w:rPr>
          <w:rFonts w:ascii="Tahoma" w:eastAsia="Calibri" w:hAnsi="Tahoma" w:cs="Tahoma"/>
          <w:sz w:val="23"/>
          <w:szCs w:val="23"/>
        </w:rPr>
        <w:t xml:space="preserve"> were included in the study. In total</w:t>
      </w:r>
      <w:r w:rsidR="009F4FF6" w:rsidRPr="00BC22F7">
        <w:rPr>
          <w:rFonts w:ascii="Tahoma" w:eastAsia="Calibri" w:hAnsi="Tahoma" w:cs="Tahoma"/>
          <w:sz w:val="23"/>
          <w:szCs w:val="23"/>
        </w:rPr>
        <w:t>, the sample consist</w:t>
      </w:r>
      <w:r w:rsidR="00ED408E" w:rsidRPr="00BC22F7">
        <w:rPr>
          <w:rFonts w:ascii="Tahoma" w:eastAsia="Calibri" w:hAnsi="Tahoma" w:cs="Tahoma"/>
          <w:sz w:val="23"/>
          <w:szCs w:val="23"/>
        </w:rPr>
        <w:t>ed of 12,873 students</w:t>
      </w:r>
      <w:r w:rsidR="009F4FF6" w:rsidRPr="00BC22F7">
        <w:rPr>
          <w:rFonts w:ascii="Tahoma" w:eastAsia="Calibri" w:hAnsi="Tahoma" w:cs="Tahoma"/>
          <w:sz w:val="23"/>
          <w:szCs w:val="23"/>
        </w:rPr>
        <w:t xml:space="preserve">. </w:t>
      </w:r>
      <w:r w:rsidR="00482254" w:rsidRPr="00BC22F7">
        <w:rPr>
          <w:rFonts w:ascii="Tahoma" w:eastAsia="Calibri" w:hAnsi="Tahoma" w:cs="Tahoma"/>
          <w:sz w:val="23"/>
          <w:szCs w:val="23"/>
        </w:rPr>
        <w:t xml:space="preserve">The average age of respondents was </w:t>
      </w:r>
      <w:r w:rsidR="006E4D96" w:rsidRPr="00BC22F7">
        <w:rPr>
          <w:rFonts w:ascii="Tahoma" w:eastAsia="Calibri" w:hAnsi="Tahoma" w:cs="Tahoma"/>
          <w:sz w:val="23"/>
          <w:szCs w:val="23"/>
        </w:rPr>
        <w:t>22.5 years</w:t>
      </w:r>
      <w:r w:rsidR="00482254" w:rsidRPr="00BC22F7">
        <w:rPr>
          <w:rFonts w:ascii="Tahoma" w:eastAsia="Calibri" w:hAnsi="Tahoma" w:cs="Tahoma"/>
          <w:sz w:val="23"/>
          <w:szCs w:val="23"/>
        </w:rPr>
        <w:t xml:space="preserve">. </w:t>
      </w:r>
      <w:r w:rsidR="00106C8C" w:rsidRPr="00BC22F7">
        <w:rPr>
          <w:rFonts w:ascii="Tahoma" w:eastAsia="Calibri" w:hAnsi="Tahoma" w:cs="Tahoma"/>
          <w:sz w:val="23"/>
          <w:szCs w:val="23"/>
        </w:rPr>
        <w:t>Overall, 59.5</w:t>
      </w:r>
      <w:r w:rsidR="00482254" w:rsidRPr="00BC22F7">
        <w:rPr>
          <w:rFonts w:ascii="Tahoma" w:eastAsia="Calibri" w:hAnsi="Tahoma" w:cs="Tahoma"/>
          <w:sz w:val="23"/>
          <w:szCs w:val="23"/>
        </w:rPr>
        <w:t xml:space="preserve">% of respondents in the sample were female; </w:t>
      </w:r>
      <w:r w:rsidR="00106C8C" w:rsidRPr="00BC22F7">
        <w:rPr>
          <w:rFonts w:ascii="Tahoma" w:eastAsia="Calibri" w:hAnsi="Tahoma" w:cs="Tahoma"/>
          <w:sz w:val="23"/>
          <w:szCs w:val="23"/>
        </w:rPr>
        <w:t>19.2</w:t>
      </w:r>
      <w:r w:rsidR="00482254" w:rsidRPr="00BC22F7">
        <w:rPr>
          <w:rFonts w:ascii="Tahoma" w:eastAsia="Calibri" w:hAnsi="Tahoma" w:cs="Tahoma"/>
          <w:sz w:val="23"/>
          <w:szCs w:val="23"/>
        </w:rPr>
        <w:t xml:space="preserve">% </w:t>
      </w:r>
      <w:r w:rsidR="00106C8C" w:rsidRPr="00BC22F7">
        <w:rPr>
          <w:rFonts w:ascii="Tahoma" w:eastAsia="Calibri" w:hAnsi="Tahoma" w:cs="Tahoma"/>
          <w:sz w:val="23"/>
          <w:szCs w:val="23"/>
        </w:rPr>
        <w:t>self-identified as</w:t>
      </w:r>
      <w:r w:rsidR="00482254" w:rsidRPr="00BC22F7">
        <w:rPr>
          <w:rFonts w:ascii="Tahoma" w:eastAsia="Calibri" w:hAnsi="Tahoma" w:cs="Tahoma"/>
          <w:sz w:val="23"/>
          <w:szCs w:val="23"/>
        </w:rPr>
        <w:t xml:space="preserve"> visible minorities; </w:t>
      </w:r>
      <w:r w:rsidR="00106C8C" w:rsidRPr="00BC22F7">
        <w:rPr>
          <w:rFonts w:ascii="Tahoma" w:eastAsia="Calibri" w:hAnsi="Tahoma" w:cs="Tahoma"/>
          <w:sz w:val="23"/>
          <w:szCs w:val="23"/>
        </w:rPr>
        <w:t>1.2</w:t>
      </w:r>
      <w:r w:rsidR="00482254" w:rsidRPr="00BC22F7">
        <w:rPr>
          <w:rFonts w:ascii="Tahoma" w:eastAsia="Calibri" w:hAnsi="Tahoma" w:cs="Tahoma"/>
          <w:sz w:val="23"/>
          <w:szCs w:val="23"/>
        </w:rPr>
        <w:t xml:space="preserve">% </w:t>
      </w:r>
      <w:r w:rsidR="00225BAE" w:rsidRPr="00BC22F7">
        <w:rPr>
          <w:rFonts w:ascii="Tahoma" w:eastAsia="Calibri" w:hAnsi="Tahoma" w:cs="Tahoma"/>
          <w:sz w:val="23"/>
          <w:szCs w:val="23"/>
        </w:rPr>
        <w:t>A</w:t>
      </w:r>
      <w:r w:rsidR="00482254" w:rsidRPr="00BC22F7">
        <w:rPr>
          <w:rFonts w:ascii="Tahoma" w:eastAsia="Calibri" w:hAnsi="Tahoma" w:cs="Tahoma"/>
          <w:sz w:val="23"/>
          <w:szCs w:val="23"/>
        </w:rPr>
        <w:t xml:space="preserve">boriginal; </w:t>
      </w:r>
      <w:r w:rsidR="00106C8C" w:rsidRPr="00BC22F7">
        <w:rPr>
          <w:rFonts w:ascii="Tahoma" w:eastAsia="Calibri" w:hAnsi="Tahoma" w:cs="Tahoma"/>
          <w:sz w:val="23"/>
          <w:szCs w:val="23"/>
        </w:rPr>
        <w:t>2.9</w:t>
      </w:r>
      <w:r w:rsidR="00482254" w:rsidRPr="00BC22F7">
        <w:rPr>
          <w:rFonts w:ascii="Tahoma" w:eastAsia="Calibri" w:hAnsi="Tahoma" w:cs="Tahoma"/>
          <w:sz w:val="23"/>
          <w:szCs w:val="23"/>
        </w:rPr>
        <w:t xml:space="preserve">% persons with disabilities; and </w:t>
      </w:r>
      <w:r w:rsidR="00106C8C" w:rsidRPr="00BC22F7">
        <w:rPr>
          <w:rFonts w:ascii="Tahoma" w:eastAsia="Calibri" w:hAnsi="Tahoma" w:cs="Tahoma"/>
          <w:sz w:val="23"/>
          <w:szCs w:val="23"/>
        </w:rPr>
        <w:t>3.1</w:t>
      </w:r>
      <w:r w:rsidR="00482254" w:rsidRPr="00BC22F7">
        <w:rPr>
          <w:rFonts w:ascii="Tahoma" w:eastAsia="Calibri" w:hAnsi="Tahoma" w:cs="Tahoma"/>
          <w:sz w:val="23"/>
          <w:szCs w:val="23"/>
        </w:rPr>
        <w:t xml:space="preserve">% LGBT. </w:t>
      </w:r>
    </w:p>
    <w:p w:rsidR="002F24EB" w:rsidRPr="00BC22F7" w:rsidRDefault="002F24EB" w:rsidP="008A026D">
      <w:pPr>
        <w:spacing w:after="0" w:line="240" w:lineRule="auto"/>
        <w:rPr>
          <w:rFonts w:ascii="Tahoma" w:eastAsia="Calibri" w:hAnsi="Tahoma" w:cs="Tahoma"/>
          <w:sz w:val="23"/>
          <w:szCs w:val="23"/>
        </w:rPr>
      </w:pPr>
    </w:p>
    <w:p w:rsidR="009F4FF6" w:rsidRPr="00BC22F7" w:rsidRDefault="002F24EB" w:rsidP="008A026D">
      <w:pPr>
        <w:spacing w:after="0" w:line="240" w:lineRule="auto"/>
        <w:rPr>
          <w:rFonts w:ascii="Tahoma" w:eastAsia="Calibri" w:hAnsi="Tahoma" w:cs="Tahoma"/>
          <w:sz w:val="23"/>
          <w:szCs w:val="23"/>
        </w:rPr>
      </w:pPr>
      <w:r w:rsidRPr="00BC22F7">
        <w:rPr>
          <w:rFonts w:ascii="Tahoma" w:eastAsia="Calibri" w:hAnsi="Tahoma" w:cs="Tahoma"/>
          <w:sz w:val="23"/>
          <w:szCs w:val="23"/>
        </w:rPr>
        <w:t>Measures</w:t>
      </w:r>
      <w:r w:rsidR="00BB5B34" w:rsidRPr="00BC22F7">
        <w:rPr>
          <w:rFonts w:ascii="Tahoma" w:eastAsia="Calibri" w:hAnsi="Tahoma" w:cs="Tahoma"/>
          <w:sz w:val="23"/>
          <w:szCs w:val="23"/>
        </w:rPr>
        <w:t xml:space="preserve"> </w:t>
      </w:r>
    </w:p>
    <w:p w:rsidR="006E4D96" w:rsidRPr="00BC22F7" w:rsidRDefault="006E4D96" w:rsidP="006E4D96">
      <w:pPr>
        <w:pStyle w:val="Footer"/>
        <w:rPr>
          <w:rFonts w:ascii="Tahoma" w:eastAsia="Calibri" w:hAnsi="Tahoma" w:cs="Tahoma"/>
          <w:i/>
          <w:sz w:val="23"/>
          <w:szCs w:val="23"/>
        </w:rPr>
      </w:pPr>
    </w:p>
    <w:p w:rsidR="006E4D96" w:rsidRPr="00BC22F7" w:rsidRDefault="004A5F37" w:rsidP="006E4D96">
      <w:pPr>
        <w:spacing w:after="0" w:line="240" w:lineRule="auto"/>
        <w:ind w:firstLine="720"/>
        <w:rPr>
          <w:rFonts w:ascii="Tahoma" w:eastAsia="Calibri" w:hAnsi="Tahoma" w:cs="Tahoma"/>
          <w:sz w:val="23"/>
          <w:szCs w:val="23"/>
        </w:rPr>
      </w:pPr>
      <w:proofErr w:type="gramStart"/>
      <w:r w:rsidRPr="00BC22F7">
        <w:rPr>
          <w:rFonts w:ascii="Tahoma" w:eastAsia="Calibri" w:hAnsi="Tahoma" w:cs="Tahoma"/>
          <w:i/>
          <w:sz w:val="23"/>
          <w:szCs w:val="23"/>
        </w:rPr>
        <w:t>Public Sector Attraction</w:t>
      </w:r>
      <w:r w:rsidRPr="00BC22F7">
        <w:rPr>
          <w:rFonts w:ascii="Tahoma" w:eastAsia="Calibri" w:hAnsi="Tahoma" w:cs="Tahoma"/>
          <w:sz w:val="23"/>
          <w:szCs w:val="23"/>
        </w:rPr>
        <w:t>.</w:t>
      </w:r>
      <w:proofErr w:type="gramEnd"/>
      <w:r w:rsidRPr="00BC22F7">
        <w:rPr>
          <w:rFonts w:ascii="Tahoma" w:eastAsia="Calibri" w:hAnsi="Tahoma" w:cs="Tahoma"/>
          <w:sz w:val="23"/>
          <w:szCs w:val="23"/>
        </w:rPr>
        <w:t xml:space="preserve">  Consistent with prior studies (e.g., Lewis &amp; Frank, 2002; </w:t>
      </w:r>
      <w:r w:rsidR="002930F5" w:rsidRPr="00BC22F7">
        <w:rPr>
          <w:rFonts w:ascii="Tahoma" w:eastAsia="Calibri" w:hAnsi="Tahoma" w:cs="Tahoma"/>
          <w:sz w:val="23"/>
          <w:szCs w:val="23"/>
        </w:rPr>
        <w:t>Taylor, 2005</w:t>
      </w:r>
      <w:r w:rsidR="0085016E" w:rsidRPr="00BC22F7">
        <w:rPr>
          <w:rFonts w:ascii="Tahoma" w:eastAsia="Calibri" w:hAnsi="Tahoma" w:cs="Tahoma"/>
          <w:sz w:val="23"/>
          <w:szCs w:val="23"/>
        </w:rPr>
        <w:t>a, b</w:t>
      </w:r>
      <w:r w:rsidR="002930F5" w:rsidRPr="00BC22F7">
        <w:rPr>
          <w:rFonts w:ascii="Tahoma" w:eastAsia="Calibri" w:hAnsi="Tahoma" w:cs="Tahoma"/>
          <w:sz w:val="23"/>
          <w:szCs w:val="23"/>
        </w:rPr>
        <w:t xml:space="preserve">), </w:t>
      </w:r>
      <w:r w:rsidRPr="00BC22F7">
        <w:rPr>
          <w:rFonts w:ascii="Tahoma" w:eastAsia="Calibri" w:hAnsi="Tahoma" w:cs="Tahoma"/>
          <w:sz w:val="23"/>
          <w:szCs w:val="23"/>
        </w:rPr>
        <w:t>attraction to employment in the public se</w:t>
      </w:r>
      <w:r w:rsidR="00BE23A8" w:rsidRPr="00BC22F7">
        <w:rPr>
          <w:rFonts w:ascii="Tahoma" w:eastAsia="Calibri" w:hAnsi="Tahoma" w:cs="Tahoma"/>
          <w:sz w:val="23"/>
          <w:szCs w:val="23"/>
        </w:rPr>
        <w:t>ctor</w:t>
      </w:r>
      <w:r w:rsidRPr="00BC22F7">
        <w:rPr>
          <w:rFonts w:ascii="Tahoma" w:eastAsia="Calibri" w:hAnsi="Tahoma" w:cs="Tahoma"/>
          <w:sz w:val="23"/>
          <w:szCs w:val="23"/>
        </w:rPr>
        <w:t xml:space="preserve"> was measured by asking participants to indicate whether they would prefer employment in the public or private sector. Specifically, participants were asked to respond to the following item:</w:t>
      </w:r>
      <w:r w:rsidR="00771FE6" w:rsidRPr="00BC22F7">
        <w:rPr>
          <w:rFonts w:ascii="Tahoma" w:hAnsi="Tahoma" w:cs="Tahoma"/>
          <w:sz w:val="23"/>
          <w:szCs w:val="23"/>
        </w:rPr>
        <w:t xml:space="preserve"> “When considering full-time employment with an organization immediately following graduation, would you prefer to work in a job: (a) in the public sector (i.e., in the government or public service), or (b) in the private sector (i.e., in a private business)”? For the purposes of the data analysis, responses to this item were coded </w:t>
      </w:r>
      <w:r w:rsidR="0085016E" w:rsidRPr="00BC22F7">
        <w:rPr>
          <w:rFonts w:ascii="Tahoma" w:hAnsi="Tahoma" w:cs="Tahoma"/>
          <w:sz w:val="23"/>
          <w:szCs w:val="23"/>
        </w:rPr>
        <w:t xml:space="preserve">as </w:t>
      </w:r>
      <w:r w:rsidR="00771FE6" w:rsidRPr="00BC22F7">
        <w:rPr>
          <w:rFonts w:ascii="Tahoma" w:hAnsi="Tahoma" w:cs="Tahoma"/>
          <w:sz w:val="23"/>
          <w:szCs w:val="23"/>
        </w:rPr>
        <w:t>private sector = 0; public sector =1.</w:t>
      </w:r>
    </w:p>
    <w:p w:rsidR="006E4D96" w:rsidRPr="00BC22F7" w:rsidRDefault="006E4D96" w:rsidP="004D6E08">
      <w:pPr>
        <w:pStyle w:val="Footer"/>
        <w:rPr>
          <w:rFonts w:ascii="Tahoma" w:eastAsia="Calibri" w:hAnsi="Tahoma" w:cs="Tahoma"/>
          <w:i/>
          <w:sz w:val="23"/>
          <w:szCs w:val="23"/>
        </w:rPr>
      </w:pPr>
    </w:p>
    <w:p w:rsidR="00A10440" w:rsidRPr="00BC22F7" w:rsidRDefault="004A5F37" w:rsidP="003B286E">
      <w:pPr>
        <w:pStyle w:val="Footer"/>
        <w:ind w:firstLine="720"/>
        <w:rPr>
          <w:rFonts w:ascii="Tahoma" w:hAnsi="Tahoma" w:cs="Tahoma"/>
          <w:sz w:val="23"/>
          <w:szCs w:val="23"/>
        </w:rPr>
      </w:pPr>
      <w:r w:rsidRPr="00BC22F7">
        <w:rPr>
          <w:rFonts w:ascii="Tahoma" w:eastAsia="Calibri" w:hAnsi="Tahoma" w:cs="Tahoma"/>
          <w:i/>
          <w:sz w:val="23"/>
          <w:szCs w:val="23"/>
        </w:rPr>
        <w:t>Work Values</w:t>
      </w:r>
      <w:r w:rsidRPr="00BC22F7">
        <w:rPr>
          <w:rFonts w:ascii="Tahoma" w:eastAsia="Calibri" w:hAnsi="Tahoma" w:cs="Tahoma"/>
          <w:sz w:val="23"/>
          <w:szCs w:val="23"/>
        </w:rPr>
        <w:t xml:space="preserve">. </w:t>
      </w:r>
      <w:r w:rsidRPr="00BC22F7">
        <w:rPr>
          <w:rFonts w:ascii="Tahoma" w:hAnsi="Tahoma" w:cs="Tahoma"/>
          <w:sz w:val="23"/>
          <w:szCs w:val="23"/>
        </w:rPr>
        <w:t xml:space="preserve">In reference to their upcoming search for full-time employment, respondents were asked to indicate the level of importance (1 = not at all important, 4 = very important) of 15 job attributes that are well-established in the work values literature (e.g., </w:t>
      </w:r>
      <w:r w:rsidR="0085016E" w:rsidRPr="00BC22F7">
        <w:rPr>
          <w:rFonts w:ascii="Tahoma" w:hAnsi="Tahoma" w:cs="Tahoma"/>
          <w:sz w:val="23"/>
          <w:szCs w:val="23"/>
        </w:rPr>
        <w:t xml:space="preserve">Houston, 2000; </w:t>
      </w:r>
      <w:proofErr w:type="spellStart"/>
      <w:r w:rsidR="0085016E" w:rsidRPr="00BC22F7">
        <w:rPr>
          <w:rFonts w:ascii="Tahoma" w:hAnsi="Tahoma" w:cs="Tahoma"/>
          <w:sz w:val="23"/>
          <w:szCs w:val="23"/>
        </w:rPr>
        <w:t>Jurkiewicz</w:t>
      </w:r>
      <w:proofErr w:type="spellEnd"/>
      <w:r w:rsidR="0085016E" w:rsidRPr="00BC22F7">
        <w:rPr>
          <w:rFonts w:ascii="Tahoma" w:hAnsi="Tahoma" w:cs="Tahoma"/>
          <w:sz w:val="23"/>
          <w:szCs w:val="23"/>
        </w:rPr>
        <w:t xml:space="preserve">, </w:t>
      </w:r>
      <w:r w:rsidR="0037582A" w:rsidRPr="00BC22F7">
        <w:rPr>
          <w:rFonts w:ascii="Tahoma" w:hAnsi="Tahoma" w:cs="Tahoma"/>
          <w:sz w:val="23"/>
          <w:szCs w:val="23"/>
        </w:rPr>
        <w:t>M</w:t>
      </w:r>
      <w:r w:rsidR="0085016E" w:rsidRPr="00BC22F7">
        <w:rPr>
          <w:rFonts w:ascii="Tahoma" w:hAnsi="Tahoma" w:cs="Tahoma"/>
          <w:sz w:val="23"/>
          <w:szCs w:val="23"/>
        </w:rPr>
        <w:t>assey, &amp; Brown, 1998</w:t>
      </w:r>
      <w:r w:rsidRPr="00BC22F7">
        <w:rPr>
          <w:rFonts w:ascii="Tahoma" w:hAnsi="Tahoma" w:cs="Tahoma"/>
          <w:sz w:val="23"/>
          <w:szCs w:val="23"/>
        </w:rPr>
        <w:t xml:space="preserve">; </w:t>
      </w:r>
      <w:r w:rsidR="00771FE6" w:rsidRPr="00BC22F7">
        <w:rPr>
          <w:rFonts w:ascii="Tahoma" w:hAnsi="Tahoma" w:cs="Tahoma"/>
          <w:sz w:val="23"/>
          <w:szCs w:val="23"/>
        </w:rPr>
        <w:t xml:space="preserve">Lewis &amp; Frank, 2002; </w:t>
      </w:r>
      <w:r w:rsidR="000F47A1" w:rsidRPr="00BC22F7">
        <w:rPr>
          <w:rFonts w:ascii="Tahoma" w:hAnsi="Tahoma" w:cs="Tahoma"/>
          <w:sz w:val="23"/>
          <w:szCs w:val="23"/>
        </w:rPr>
        <w:t xml:space="preserve">Lyons, </w:t>
      </w:r>
      <w:r w:rsidR="000F47A1" w:rsidRPr="00BC22F7">
        <w:rPr>
          <w:rFonts w:ascii="Tahoma" w:hAnsi="Tahoma" w:cs="Tahoma"/>
          <w:sz w:val="23"/>
          <w:szCs w:val="23"/>
        </w:rPr>
        <w:lastRenderedPageBreak/>
        <w:t>Duxbury &amp; Higgins, 2006)</w:t>
      </w:r>
      <w:r w:rsidR="00771FE6" w:rsidRPr="00BC22F7">
        <w:rPr>
          <w:rFonts w:ascii="Tahoma" w:hAnsi="Tahoma" w:cs="Tahoma"/>
          <w:sz w:val="23"/>
          <w:szCs w:val="23"/>
        </w:rPr>
        <w:t>.</w:t>
      </w:r>
      <w:r w:rsidRPr="00BC22F7">
        <w:rPr>
          <w:rFonts w:ascii="Tahoma" w:hAnsi="Tahoma" w:cs="Tahoma"/>
          <w:sz w:val="23"/>
          <w:szCs w:val="23"/>
        </w:rPr>
        <w:t xml:space="preserve"> The job attributes/work values assessed include: “job security”, “commitment to social responsibility”, “good health and benefits plan”, “organization is a leader in its field”, “opportunities for advancement”, “opportunities for a personal impact”, “good people to work with”, “opportunities to travel”, “good initial salary level”, “commitment to employee diversity”, “good people to report to”, “good variety of work”, “interesting work”, “work-life balance”, and “good training opportunities”. </w:t>
      </w:r>
    </w:p>
    <w:p w:rsidR="00ED408E" w:rsidRPr="00BC22F7" w:rsidRDefault="00ED408E" w:rsidP="005943BC">
      <w:pPr>
        <w:spacing w:after="0" w:line="240" w:lineRule="auto"/>
        <w:rPr>
          <w:rFonts w:ascii="Tahoma" w:eastAsia="Calibri" w:hAnsi="Tahoma" w:cs="Tahoma"/>
          <w:i/>
          <w:sz w:val="23"/>
          <w:szCs w:val="23"/>
        </w:rPr>
      </w:pPr>
    </w:p>
    <w:p w:rsidR="005943BC" w:rsidRPr="00BC22F7" w:rsidRDefault="004A5F37" w:rsidP="00ED408E">
      <w:pPr>
        <w:spacing w:after="0" w:line="240" w:lineRule="auto"/>
        <w:ind w:firstLine="720"/>
        <w:rPr>
          <w:rFonts w:ascii="Tahoma" w:eastAsia="Calibri" w:hAnsi="Tahoma" w:cs="Tahoma"/>
          <w:sz w:val="23"/>
          <w:szCs w:val="23"/>
        </w:rPr>
      </w:pPr>
      <w:proofErr w:type="gramStart"/>
      <w:r w:rsidRPr="00BC22F7">
        <w:rPr>
          <w:rFonts w:ascii="Tahoma" w:eastAsia="Calibri" w:hAnsi="Tahoma" w:cs="Tahoma"/>
          <w:i/>
          <w:sz w:val="23"/>
          <w:szCs w:val="23"/>
        </w:rPr>
        <w:t>Demographic Variables</w:t>
      </w:r>
      <w:r w:rsidRPr="00BC22F7">
        <w:rPr>
          <w:rFonts w:ascii="Tahoma" w:eastAsia="Calibri" w:hAnsi="Tahoma" w:cs="Tahoma"/>
          <w:sz w:val="23"/>
          <w:szCs w:val="23"/>
        </w:rPr>
        <w:t>.</w:t>
      </w:r>
      <w:proofErr w:type="gramEnd"/>
      <w:r w:rsidRPr="00BC22F7">
        <w:rPr>
          <w:rFonts w:ascii="Tahoma" w:eastAsia="Calibri" w:hAnsi="Tahoma" w:cs="Tahoma"/>
          <w:sz w:val="23"/>
          <w:szCs w:val="23"/>
        </w:rPr>
        <w:t xml:space="preserve"> </w:t>
      </w:r>
      <w:r w:rsidR="0085016E" w:rsidRPr="00BC22F7">
        <w:rPr>
          <w:rFonts w:ascii="Tahoma" w:eastAsia="Calibri" w:hAnsi="Tahoma" w:cs="Tahoma"/>
          <w:sz w:val="23"/>
          <w:szCs w:val="23"/>
        </w:rPr>
        <w:t xml:space="preserve">Lastly, </w:t>
      </w:r>
      <w:r w:rsidRPr="00BC22F7">
        <w:rPr>
          <w:rFonts w:ascii="Tahoma" w:eastAsia="Calibri" w:hAnsi="Tahoma" w:cs="Tahoma"/>
          <w:sz w:val="23"/>
          <w:szCs w:val="23"/>
        </w:rPr>
        <w:t xml:space="preserve">participants were asked to indicate their gender (male = 0, female = 1), and whether they belong to any of the underrepresented groups: visible minority (non-VM = 0, VM = 1), </w:t>
      </w:r>
      <w:r w:rsidR="00225BAE" w:rsidRPr="00BC22F7">
        <w:rPr>
          <w:rFonts w:ascii="Tahoma" w:eastAsia="Calibri" w:hAnsi="Tahoma" w:cs="Tahoma"/>
          <w:sz w:val="23"/>
          <w:szCs w:val="23"/>
        </w:rPr>
        <w:t>A</w:t>
      </w:r>
      <w:r w:rsidRPr="00BC22F7">
        <w:rPr>
          <w:rFonts w:ascii="Tahoma" w:eastAsia="Calibri" w:hAnsi="Tahoma" w:cs="Tahoma"/>
          <w:sz w:val="23"/>
          <w:szCs w:val="23"/>
        </w:rPr>
        <w:t>boriginal peoples (non-</w:t>
      </w:r>
      <w:r w:rsidR="00225BAE" w:rsidRPr="00BC22F7">
        <w:rPr>
          <w:rFonts w:ascii="Tahoma" w:eastAsia="Calibri" w:hAnsi="Tahoma" w:cs="Tahoma"/>
          <w:sz w:val="23"/>
          <w:szCs w:val="23"/>
        </w:rPr>
        <w:t>A</w:t>
      </w:r>
      <w:r w:rsidRPr="00BC22F7">
        <w:rPr>
          <w:rFonts w:ascii="Tahoma" w:eastAsia="Calibri" w:hAnsi="Tahoma" w:cs="Tahoma"/>
          <w:sz w:val="23"/>
          <w:szCs w:val="23"/>
        </w:rPr>
        <w:t xml:space="preserve">boriginal = 0, </w:t>
      </w:r>
      <w:r w:rsidR="00225BAE" w:rsidRPr="00BC22F7">
        <w:rPr>
          <w:rFonts w:ascii="Tahoma" w:eastAsia="Calibri" w:hAnsi="Tahoma" w:cs="Tahoma"/>
          <w:sz w:val="23"/>
          <w:szCs w:val="23"/>
        </w:rPr>
        <w:t>A</w:t>
      </w:r>
      <w:r w:rsidRPr="00BC22F7">
        <w:rPr>
          <w:rFonts w:ascii="Tahoma" w:eastAsia="Calibri" w:hAnsi="Tahoma" w:cs="Tahoma"/>
          <w:sz w:val="23"/>
          <w:szCs w:val="23"/>
        </w:rPr>
        <w:t xml:space="preserve">boriginal = 1), persons with disabilities (non-PWD = 0, PWD = 1), and LGBT (non-LGBT = 0, LGBT = 1).     </w:t>
      </w:r>
    </w:p>
    <w:p w:rsidR="006E4D96" w:rsidRPr="00BC22F7" w:rsidRDefault="006E4D96" w:rsidP="008A026D">
      <w:pPr>
        <w:spacing w:after="0" w:line="240" w:lineRule="auto"/>
        <w:rPr>
          <w:rFonts w:ascii="Tahoma" w:eastAsia="Calibri" w:hAnsi="Tahoma" w:cs="Tahoma"/>
          <w:sz w:val="23"/>
          <w:szCs w:val="23"/>
        </w:rPr>
      </w:pPr>
    </w:p>
    <w:p w:rsidR="00A10440" w:rsidRPr="00BC22F7" w:rsidRDefault="00036631" w:rsidP="008404A4">
      <w:pPr>
        <w:spacing w:after="0" w:line="240" w:lineRule="auto"/>
        <w:jc w:val="center"/>
        <w:rPr>
          <w:rFonts w:ascii="Tahoma" w:eastAsia="Calibri" w:hAnsi="Tahoma" w:cs="Tahoma"/>
          <w:sz w:val="23"/>
          <w:szCs w:val="23"/>
        </w:rPr>
      </w:pPr>
      <w:r w:rsidRPr="00BC22F7">
        <w:rPr>
          <w:rFonts w:ascii="Tahoma" w:eastAsia="Calibri" w:hAnsi="Tahoma" w:cs="Tahoma"/>
          <w:sz w:val="23"/>
          <w:szCs w:val="23"/>
        </w:rPr>
        <w:t>Findings</w:t>
      </w:r>
    </w:p>
    <w:p w:rsidR="00BB5B34" w:rsidRPr="00BC22F7" w:rsidRDefault="00BB5B34" w:rsidP="0025193E">
      <w:pPr>
        <w:spacing w:after="0" w:line="240" w:lineRule="auto"/>
        <w:ind w:firstLine="720"/>
        <w:rPr>
          <w:rFonts w:ascii="Tahoma" w:eastAsia="Calibri" w:hAnsi="Tahoma" w:cs="Tahoma"/>
          <w:sz w:val="23"/>
          <w:szCs w:val="23"/>
        </w:rPr>
      </w:pPr>
    </w:p>
    <w:p w:rsidR="00B9229A" w:rsidRPr="00BC22F7" w:rsidRDefault="004A5F37" w:rsidP="0025193E">
      <w:pPr>
        <w:spacing w:after="0" w:line="240" w:lineRule="auto"/>
        <w:ind w:firstLine="720"/>
        <w:rPr>
          <w:rFonts w:ascii="Tahoma" w:eastAsia="Calibri" w:hAnsi="Tahoma" w:cs="Tahoma"/>
          <w:sz w:val="23"/>
          <w:szCs w:val="23"/>
        </w:rPr>
      </w:pPr>
      <w:r w:rsidRPr="00BC22F7">
        <w:rPr>
          <w:rFonts w:ascii="Tahoma" w:eastAsia="Calibri" w:hAnsi="Tahoma" w:cs="Tahoma"/>
          <w:sz w:val="23"/>
          <w:szCs w:val="23"/>
        </w:rPr>
        <w:t xml:space="preserve">To investigate whether members of each of the focal demographic groups </w:t>
      </w:r>
      <w:r w:rsidR="0085016E" w:rsidRPr="00BC22F7">
        <w:rPr>
          <w:rFonts w:ascii="Tahoma" w:eastAsia="Calibri" w:hAnsi="Tahoma" w:cs="Tahoma"/>
          <w:sz w:val="23"/>
          <w:szCs w:val="23"/>
        </w:rPr>
        <w:t xml:space="preserve">(i.e., underrepresented groups) </w:t>
      </w:r>
      <w:r w:rsidRPr="00BC22F7">
        <w:rPr>
          <w:rFonts w:ascii="Tahoma" w:eastAsia="Calibri" w:hAnsi="Tahoma" w:cs="Tahoma"/>
          <w:sz w:val="23"/>
          <w:szCs w:val="23"/>
        </w:rPr>
        <w:t>may differ in terms of their preference for employment in the public or private sector, a chi-square analysis was conducted. Table 2 reports the Pearson chi-square results and percentage of participants favoring public vs. private sector employment for each of the five demographic groups investigated. As shown in Table 2, overall, 38% of respondents would prefer employment in the public sector relative to the private sector. With respect to results for each of the demographic groups, females were significantly more likely to prefer public sector employment than males (</w:t>
      </w:r>
      <w:r w:rsidR="00771FE6" w:rsidRPr="00BC22F7">
        <w:rPr>
          <w:rFonts w:ascii="Tahoma" w:hAnsi="Tahoma" w:cs="Tahoma"/>
          <w:i/>
          <w:color w:val="000000"/>
          <w:sz w:val="23"/>
          <w:szCs w:val="23"/>
        </w:rPr>
        <w:t>χ²</w:t>
      </w:r>
      <w:r w:rsidRPr="00BC22F7">
        <w:rPr>
          <w:rFonts w:ascii="Tahoma" w:eastAsia="Calibri" w:hAnsi="Tahoma" w:cs="Tahoma"/>
          <w:sz w:val="23"/>
          <w:szCs w:val="23"/>
        </w:rPr>
        <w:t xml:space="preserve"> (1, 12873) = 658.71, </w:t>
      </w:r>
      <w:r w:rsidRPr="00BC22F7">
        <w:rPr>
          <w:rFonts w:ascii="Tahoma" w:eastAsia="Calibri" w:hAnsi="Tahoma" w:cs="Tahoma"/>
          <w:i/>
          <w:sz w:val="23"/>
          <w:szCs w:val="23"/>
        </w:rPr>
        <w:t>p</w:t>
      </w:r>
      <w:r w:rsidRPr="00BC22F7">
        <w:rPr>
          <w:rFonts w:ascii="Tahoma" w:eastAsia="Calibri" w:hAnsi="Tahoma" w:cs="Tahoma"/>
          <w:sz w:val="23"/>
          <w:szCs w:val="23"/>
        </w:rPr>
        <w:t xml:space="preserve"> &lt; .001, </w:t>
      </w:r>
      <w:r w:rsidRPr="00BC22F7">
        <w:rPr>
          <w:rFonts w:ascii="Tahoma" w:eastAsia="Calibri" w:hAnsi="Tahoma" w:cs="Tahoma"/>
          <w:i/>
          <w:sz w:val="23"/>
          <w:szCs w:val="23"/>
        </w:rPr>
        <w:t>phi</w:t>
      </w:r>
      <w:r w:rsidRPr="00BC22F7">
        <w:rPr>
          <w:rFonts w:ascii="Tahoma" w:eastAsia="Calibri" w:hAnsi="Tahoma" w:cs="Tahoma"/>
          <w:sz w:val="23"/>
          <w:szCs w:val="23"/>
        </w:rPr>
        <w:t xml:space="preserve"> = .23). Likewise, </w:t>
      </w:r>
      <w:r w:rsidR="0085016E" w:rsidRPr="00BC22F7">
        <w:rPr>
          <w:rFonts w:ascii="Tahoma" w:eastAsia="Calibri" w:hAnsi="Tahoma" w:cs="Tahoma"/>
          <w:sz w:val="23"/>
          <w:szCs w:val="23"/>
        </w:rPr>
        <w:t>A</w:t>
      </w:r>
      <w:r w:rsidRPr="00BC22F7">
        <w:rPr>
          <w:rFonts w:ascii="Tahoma" w:eastAsia="Calibri" w:hAnsi="Tahoma" w:cs="Tahoma"/>
          <w:sz w:val="23"/>
          <w:szCs w:val="23"/>
        </w:rPr>
        <w:t xml:space="preserve">boriginal </w:t>
      </w:r>
      <w:r w:rsidR="0085016E" w:rsidRPr="00BC22F7">
        <w:rPr>
          <w:rFonts w:ascii="Tahoma" w:eastAsia="Calibri" w:hAnsi="Tahoma" w:cs="Tahoma"/>
          <w:sz w:val="23"/>
          <w:szCs w:val="23"/>
        </w:rPr>
        <w:t>peoples</w:t>
      </w:r>
      <w:r w:rsidRPr="00BC22F7">
        <w:rPr>
          <w:rFonts w:ascii="Tahoma" w:eastAsia="Calibri" w:hAnsi="Tahoma" w:cs="Tahoma"/>
          <w:sz w:val="23"/>
          <w:szCs w:val="23"/>
        </w:rPr>
        <w:t xml:space="preserve"> (</w:t>
      </w:r>
      <w:r w:rsidR="00771FE6" w:rsidRPr="00BC22F7">
        <w:rPr>
          <w:rFonts w:ascii="Tahoma" w:hAnsi="Tahoma" w:cs="Tahoma"/>
          <w:i/>
          <w:color w:val="000000"/>
          <w:sz w:val="23"/>
          <w:szCs w:val="23"/>
        </w:rPr>
        <w:t>χ²</w:t>
      </w:r>
      <w:r w:rsidR="00771FE6" w:rsidRPr="00BC22F7">
        <w:rPr>
          <w:rFonts w:ascii="Tahoma" w:hAnsi="Tahoma" w:cs="Tahoma"/>
          <w:color w:val="000000"/>
          <w:sz w:val="23"/>
          <w:szCs w:val="23"/>
        </w:rPr>
        <w:t xml:space="preserve"> (1, 12873) = 8.75, </w:t>
      </w:r>
      <w:r w:rsidRPr="00BC22F7">
        <w:rPr>
          <w:rFonts w:ascii="Tahoma" w:hAnsi="Tahoma" w:cs="Tahoma"/>
          <w:i/>
          <w:color w:val="000000"/>
          <w:sz w:val="23"/>
          <w:szCs w:val="23"/>
        </w:rPr>
        <w:t>p</w:t>
      </w:r>
      <w:r w:rsidRPr="00BC22F7">
        <w:rPr>
          <w:rFonts w:ascii="Tahoma" w:hAnsi="Tahoma" w:cs="Tahoma"/>
          <w:color w:val="000000"/>
          <w:sz w:val="23"/>
          <w:szCs w:val="23"/>
        </w:rPr>
        <w:t xml:space="preserve"> &lt; .01, </w:t>
      </w:r>
      <w:r w:rsidRPr="00BC22F7">
        <w:rPr>
          <w:rFonts w:ascii="Tahoma" w:hAnsi="Tahoma" w:cs="Tahoma"/>
          <w:i/>
          <w:color w:val="000000"/>
          <w:sz w:val="23"/>
          <w:szCs w:val="23"/>
        </w:rPr>
        <w:t>phi</w:t>
      </w:r>
      <w:r w:rsidRPr="00BC22F7">
        <w:rPr>
          <w:rFonts w:ascii="Tahoma" w:hAnsi="Tahoma" w:cs="Tahoma"/>
          <w:color w:val="000000"/>
          <w:sz w:val="23"/>
          <w:szCs w:val="23"/>
        </w:rPr>
        <w:t xml:space="preserve"> = .03</w:t>
      </w:r>
      <w:r w:rsidRPr="00BC22F7">
        <w:rPr>
          <w:rFonts w:ascii="Tahoma" w:eastAsia="Calibri" w:hAnsi="Tahoma" w:cs="Tahoma"/>
          <w:sz w:val="23"/>
          <w:szCs w:val="23"/>
        </w:rPr>
        <w:t>), persons with disabilities (</w:t>
      </w:r>
      <w:r w:rsidR="00771FE6" w:rsidRPr="00BC22F7">
        <w:rPr>
          <w:rFonts w:ascii="Tahoma" w:hAnsi="Tahoma" w:cs="Tahoma"/>
          <w:i/>
          <w:color w:val="000000"/>
          <w:sz w:val="23"/>
          <w:szCs w:val="23"/>
        </w:rPr>
        <w:t>χ²</w:t>
      </w:r>
      <w:r w:rsidR="00771FE6" w:rsidRPr="00BC22F7">
        <w:rPr>
          <w:rFonts w:ascii="Tahoma" w:hAnsi="Tahoma" w:cs="Tahoma"/>
          <w:color w:val="000000"/>
          <w:sz w:val="23"/>
          <w:szCs w:val="23"/>
        </w:rPr>
        <w:t xml:space="preserve"> ( 1, 12873) = </w:t>
      </w:r>
      <w:r w:rsidRPr="00BC22F7">
        <w:rPr>
          <w:rFonts w:ascii="Tahoma" w:hAnsi="Tahoma" w:cs="Tahoma"/>
          <w:color w:val="000000"/>
          <w:sz w:val="23"/>
          <w:szCs w:val="23"/>
        </w:rPr>
        <w:t xml:space="preserve">14.97, </w:t>
      </w:r>
      <w:r w:rsidRPr="00BC22F7">
        <w:rPr>
          <w:rFonts w:ascii="Tahoma" w:hAnsi="Tahoma" w:cs="Tahoma"/>
          <w:i/>
          <w:color w:val="000000"/>
          <w:sz w:val="23"/>
          <w:szCs w:val="23"/>
        </w:rPr>
        <w:t>p</w:t>
      </w:r>
      <w:r w:rsidRPr="00BC22F7">
        <w:rPr>
          <w:rFonts w:ascii="Tahoma" w:hAnsi="Tahoma" w:cs="Tahoma"/>
          <w:color w:val="000000"/>
          <w:sz w:val="23"/>
          <w:szCs w:val="23"/>
        </w:rPr>
        <w:t xml:space="preserve"> &lt; .001, </w:t>
      </w:r>
      <w:r w:rsidRPr="00BC22F7">
        <w:rPr>
          <w:rFonts w:ascii="Tahoma" w:hAnsi="Tahoma" w:cs="Tahoma"/>
          <w:i/>
          <w:color w:val="000000"/>
          <w:sz w:val="23"/>
          <w:szCs w:val="23"/>
        </w:rPr>
        <w:t>phi</w:t>
      </w:r>
      <w:r w:rsidRPr="00BC22F7">
        <w:rPr>
          <w:rFonts w:ascii="Tahoma" w:hAnsi="Tahoma" w:cs="Tahoma"/>
          <w:color w:val="000000"/>
          <w:sz w:val="23"/>
          <w:szCs w:val="23"/>
        </w:rPr>
        <w:t xml:space="preserve"> = .04</w:t>
      </w:r>
      <w:r w:rsidRPr="00BC22F7">
        <w:rPr>
          <w:rFonts w:ascii="Tahoma" w:eastAsia="Calibri" w:hAnsi="Tahoma" w:cs="Tahoma"/>
          <w:sz w:val="23"/>
          <w:szCs w:val="23"/>
        </w:rPr>
        <w:t>), and LGBT group members (</w:t>
      </w:r>
      <w:r w:rsidR="00771FE6" w:rsidRPr="00BC22F7">
        <w:rPr>
          <w:rFonts w:ascii="Tahoma" w:hAnsi="Tahoma" w:cs="Tahoma"/>
          <w:i/>
          <w:color w:val="000000"/>
          <w:sz w:val="23"/>
          <w:szCs w:val="23"/>
        </w:rPr>
        <w:t>χ²</w:t>
      </w:r>
      <w:r w:rsidR="00771FE6" w:rsidRPr="00BC22F7">
        <w:rPr>
          <w:rFonts w:ascii="Tahoma" w:hAnsi="Tahoma" w:cs="Tahoma"/>
          <w:color w:val="000000"/>
          <w:sz w:val="23"/>
          <w:szCs w:val="23"/>
        </w:rPr>
        <w:t xml:space="preserve"> ( 1, 12873) = </w:t>
      </w:r>
      <w:r w:rsidRPr="00BC22F7">
        <w:rPr>
          <w:rFonts w:ascii="Tahoma" w:hAnsi="Tahoma" w:cs="Tahoma"/>
          <w:color w:val="000000"/>
          <w:sz w:val="23"/>
          <w:szCs w:val="23"/>
        </w:rPr>
        <w:t xml:space="preserve">10.43, </w:t>
      </w:r>
      <w:r w:rsidRPr="00BC22F7">
        <w:rPr>
          <w:rFonts w:ascii="Tahoma" w:hAnsi="Tahoma" w:cs="Tahoma"/>
          <w:i/>
          <w:color w:val="000000"/>
          <w:sz w:val="23"/>
          <w:szCs w:val="23"/>
        </w:rPr>
        <w:t>p</w:t>
      </w:r>
      <w:r w:rsidRPr="00BC22F7">
        <w:rPr>
          <w:rFonts w:ascii="Tahoma" w:hAnsi="Tahoma" w:cs="Tahoma"/>
          <w:color w:val="000000"/>
          <w:sz w:val="23"/>
          <w:szCs w:val="23"/>
        </w:rPr>
        <w:t xml:space="preserve"> &lt; .01, </w:t>
      </w:r>
      <w:r w:rsidRPr="00BC22F7">
        <w:rPr>
          <w:rFonts w:ascii="Tahoma" w:hAnsi="Tahoma" w:cs="Tahoma"/>
          <w:i/>
          <w:color w:val="000000"/>
          <w:sz w:val="23"/>
          <w:szCs w:val="23"/>
        </w:rPr>
        <w:t>phi</w:t>
      </w:r>
      <w:r w:rsidRPr="00BC22F7">
        <w:rPr>
          <w:rFonts w:ascii="Tahoma" w:hAnsi="Tahoma" w:cs="Tahoma"/>
          <w:color w:val="000000"/>
          <w:sz w:val="23"/>
          <w:szCs w:val="23"/>
        </w:rPr>
        <w:t xml:space="preserve"> = .03</w:t>
      </w:r>
      <w:r w:rsidRPr="00BC22F7">
        <w:rPr>
          <w:rFonts w:ascii="Tahoma" w:eastAsia="Calibri" w:hAnsi="Tahoma" w:cs="Tahoma"/>
          <w:sz w:val="23"/>
          <w:szCs w:val="23"/>
        </w:rPr>
        <w:t xml:space="preserve">) were </w:t>
      </w:r>
      <w:r w:rsidR="0085016E" w:rsidRPr="00BC22F7">
        <w:rPr>
          <w:rFonts w:ascii="Tahoma" w:eastAsia="Calibri" w:hAnsi="Tahoma" w:cs="Tahoma"/>
          <w:sz w:val="23"/>
          <w:szCs w:val="23"/>
        </w:rPr>
        <w:t xml:space="preserve">also </w:t>
      </w:r>
      <w:r w:rsidRPr="00BC22F7">
        <w:rPr>
          <w:rFonts w:ascii="Tahoma" w:eastAsia="Calibri" w:hAnsi="Tahoma" w:cs="Tahoma"/>
          <w:sz w:val="23"/>
          <w:szCs w:val="23"/>
        </w:rPr>
        <w:t xml:space="preserve">significantly more likely to be attracted to work in the public sector (vs. private sector) relative to their majority group counterparts. </w:t>
      </w:r>
      <w:r w:rsidR="00E76395" w:rsidRPr="00BC22F7">
        <w:rPr>
          <w:rFonts w:ascii="Tahoma" w:eastAsia="Calibri" w:hAnsi="Tahoma" w:cs="Tahoma"/>
          <w:sz w:val="23"/>
          <w:szCs w:val="23"/>
        </w:rPr>
        <w:t>Conversely</w:t>
      </w:r>
      <w:r w:rsidRPr="00BC22F7">
        <w:rPr>
          <w:rFonts w:ascii="Tahoma" w:eastAsia="Calibri" w:hAnsi="Tahoma" w:cs="Tahoma"/>
          <w:sz w:val="23"/>
          <w:szCs w:val="23"/>
        </w:rPr>
        <w:t>, results indicated that visible minorities (</w:t>
      </w:r>
      <w:r w:rsidR="00771FE6" w:rsidRPr="00BC22F7">
        <w:rPr>
          <w:rFonts w:ascii="Tahoma" w:hAnsi="Tahoma" w:cs="Tahoma"/>
          <w:i/>
          <w:color w:val="000000"/>
          <w:sz w:val="23"/>
          <w:szCs w:val="23"/>
        </w:rPr>
        <w:t>χ²</w:t>
      </w:r>
      <w:r w:rsidR="00771FE6" w:rsidRPr="00BC22F7">
        <w:rPr>
          <w:rFonts w:ascii="Tahoma" w:hAnsi="Tahoma" w:cs="Tahoma"/>
          <w:color w:val="000000"/>
          <w:sz w:val="23"/>
          <w:szCs w:val="23"/>
        </w:rPr>
        <w:t xml:space="preserve"> (1, 12873) = </w:t>
      </w:r>
      <w:r w:rsidRPr="00BC22F7">
        <w:rPr>
          <w:rFonts w:ascii="Tahoma" w:hAnsi="Tahoma" w:cs="Tahoma"/>
          <w:color w:val="000000"/>
          <w:sz w:val="23"/>
          <w:szCs w:val="23"/>
        </w:rPr>
        <w:t xml:space="preserve">6.44, </w:t>
      </w:r>
      <w:r w:rsidRPr="00BC22F7">
        <w:rPr>
          <w:rFonts w:ascii="Tahoma" w:hAnsi="Tahoma" w:cs="Tahoma"/>
          <w:i/>
          <w:color w:val="000000"/>
          <w:sz w:val="23"/>
          <w:szCs w:val="23"/>
        </w:rPr>
        <w:t>p</w:t>
      </w:r>
      <w:r w:rsidRPr="00BC22F7">
        <w:rPr>
          <w:rFonts w:ascii="Tahoma" w:hAnsi="Tahoma" w:cs="Tahoma"/>
          <w:color w:val="000000"/>
          <w:sz w:val="23"/>
          <w:szCs w:val="23"/>
        </w:rPr>
        <w:t xml:space="preserve"> &lt; .05, </w:t>
      </w:r>
      <w:r w:rsidRPr="00BC22F7">
        <w:rPr>
          <w:rFonts w:ascii="Tahoma" w:hAnsi="Tahoma" w:cs="Tahoma"/>
          <w:i/>
          <w:color w:val="000000"/>
          <w:sz w:val="23"/>
          <w:szCs w:val="23"/>
        </w:rPr>
        <w:t>phi</w:t>
      </w:r>
      <w:r w:rsidRPr="00BC22F7">
        <w:rPr>
          <w:rFonts w:ascii="Tahoma" w:hAnsi="Tahoma" w:cs="Tahoma"/>
          <w:color w:val="000000"/>
          <w:sz w:val="23"/>
          <w:szCs w:val="23"/>
        </w:rPr>
        <w:t xml:space="preserve"> = .02</w:t>
      </w:r>
      <w:r w:rsidRPr="00BC22F7">
        <w:rPr>
          <w:rFonts w:ascii="Tahoma" w:eastAsia="Calibri" w:hAnsi="Tahoma" w:cs="Tahoma"/>
          <w:sz w:val="23"/>
          <w:szCs w:val="23"/>
        </w:rPr>
        <w:t>) were significantly more attracted to employment in the private sector (</w:t>
      </w:r>
      <w:r w:rsidR="0085016E" w:rsidRPr="00BC22F7">
        <w:rPr>
          <w:rFonts w:ascii="Tahoma" w:eastAsia="Calibri" w:hAnsi="Tahoma" w:cs="Tahoma"/>
          <w:sz w:val="23"/>
          <w:szCs w:val="23"/>
          <w:lang w:val="en-US"/>
        </w:rPr>
        <w:t xml:space="preserve">vis-à-vis </w:t>
      </w:r>
      <w:r w:rsidR="00BE0E54" w:rsidRPr="00BC22F7">
        <w:rPr>
          <w:rFonts w:ascii="Tahoma" w:eastAsia="Calibri" w:hAnsi="Tahoma" w:cs="Tahoma"/>
          <w:sz w:val="23"/>
          <w:szCs w:val="23"/>
          <w:lang w:val="en-US"/>
        </w:rPr>
        <w:t xml:space="preserve">the </w:t>
      </w:r>
      <w:r w:rsidRPr="00BC22F7">
        <w:rPr>
          <w:rFonts w:ascii="Tahoma" w:eastAsia="Calibri" w:hAnsi="Tahoma" w:cs="Tahoma"/>
          <w:sz w:val="23"/>
          <w:szCs w:val="23"/>
        </w:rPr>
        <w:t xml:space="preserve">public sector) compared to their non-visible minority counterparts. Overall, these findings provide support for the premise that the five demographic groups display appreciable differences with respect to their attraction to employment in the public sector. Interestingly, each of the </w:t>
      </w:r>
      <w:r w:rsidR="00771FE6" w:rsidRPr="00BC22F7">
        <w:rPr>
          <w:rFonts w:ascii="Tahoma" w:eastAsia="Calibri" w:hAnsi="Tahoma" w:cs="Tahoma"/>
          <w:sz w:val="23"/>
          <w:szCs w:val="23"/>
        </w:rPr>
        <w:t xml:space="preserve">underrepresented </w:t>
      </w:r>
      <w:r w:rsidRPr="00BC22F7">
        <w:rPr>
          <w:rFonts w:ascii="Tahoma" w:eastAsia="Calibri" w:hAnsi="Tahoma" w:cs="Tahoma"/>
          <w:sz w:val="23"/>
          <w:szCs w:val="23"/>
        </w:rPr>
        <w:t xml:space="preserve">groups studied reported a </w:t>
      </w:r>
      <w:r w:rsidRPr="00BC22F7">
        <w:rPr>
          <w:rFonts w:ascii="Tahoma" w:eastAsia="Calibri" w:hAnsi="Tahoma" w:cs="Tahoma"/>
          <w:i/>
          <w:sz w:val="23"/>
          <w:szCs w:val="23"/>
        </w:rPr>
        <w:t>higher</w:t>
      </w:r>
      <w:r w:rsidRPr="00BC22F7">
        <w:rPr>
          <w:rFonts w:ascii="Tahoma" w:eastAsia="Calibri" w:hAnsi="Tahoma" w:cs="Tahoma"/>
          <w:sz w:val="23"/>
          <w:szCs w:val="23"/>
        </w:rPr>
        <w:t xml:space="preserve"> level of attraction to public sector (vs. private sector) employment than their majority group counterparts, with the notable exception of visible minorities. </w:t>
      </w:r>
    </w:p>
    <w:p w:rsidR="00776C0B" w:rsidRPr="00BC22F7" w:rsidRDefault="00776C0B" w:rsidP="00B9229A">
      <w:pPr>
        <w:spacing w:after="0" w:line="240" w:lineRule="auto"/>
        <w:rPr>
          <w:rFonts w:ascii="Tahoma" w:hAnsi="Tahoma" w:cs="Tahoma"/>
          <w:sz w:val="23"/>
          <w:szCs w:val="23"/>
        </w:rPr>
      </w:pPr>
    </w:p>
    <w:p w:rsidR="0025193E" w:rsidRPr="00BC22F7" w:rsidRDefault="004A5F37" w:rsidP="005E533A">
      <w:pPr>
        <w:spacing w:after="0" w:line="240" w:lineRule="auto"/>
        <w:ind w:firstLine="720"/>
        <w:rPr>
          <w:rFonts w:ascii="Tahoma" w:hAnsi="Tahoma" w:cs="Tahoma"/>
          <w:sz w:val="23"/>
          <w:szCs w:val="23"/>
        </w:rPr>
      </w:pPr>
      <w:r w:rsidRPr="00BC22F7">
        <w:rPr>
          <w:rFonts w:ascii="Tahoma" w:hAnsi="Tahoma" w:cs="Tahoma"/>
          <w:sz w:val="23"/>
          <w:szCs w:val="23"/>
        </w:rPr>
        <w:t xml:space="preserve">A </w:t>
      </w:r>
      <w:proofErr w:type="spellStart"/>
      <w:r w:rsidRPr="00BC22F7">
        <w:rPr>
          <w:rFonts w:ascii="Tahoma" w:hAnsi="Tahoma" w:cs="Tahoma"/>
          <w:sz w:val="23"/>
          <w:szCs w:val="23"/>
        </w:rPr>
        <w:t>discriminant</w:t>
      </w:r>
      <w:proofErr w:type="spellEnd"/>
      <w:r w:rsidRPr="00BC22F7">
        <w:rPr>
          <w:rFonts w:ascii="Tahoma" w:hAnsi="Tahoma" w:cs="Tahoma"/>
          <w:sz w:val="23"/>
          <w:szCs w:val="23"/>
        </w:rPr>
        <w:t xml:space="preserve"> analysis was conducted to examine whether certain work values predict respondents’ preferences for employment in the public vs. private sector. </w:t>
      </w:r>
      <w:proofErr w:type="spellStart"/>
      <w:r w:rsidRPr="00BC22F7">
        <w:rPr>
          <w:rFonts w:ascii="Tahoma" w:hAnsi="Tahoma" w:cs="Tahoma"/>
          <w:sz w:val="23"/>
          <w:szCs w:val="23"/>
        </w:rPr>
        <w:t>Wilks</w:t>
      </w:r>
      <w:proofErr w:type="spellEnd"/>
      <w:r w:rsidRPr="00BC22F7">
        <w:rPr>
          <w:rFonts w:ascii="Tahoma" w:hAnsi="Tahoma" w:cs="Tahoma"/>
          <w:sz w:val="23"/>
          <w:szCs w:val="23"/>
        </w:rPr>
        <w:t>’ lambda was significant (</w:t>
      </w:r>
      <w:r w:rsidR="00771FE6" w:rsidRPr="00BC22F7">
        <w:rPr>
          <w:rStyle w:val="mw-headline"/>
          <w:rFonts w:ascii="Tahoma" w:hAnsi="Tahoma" w:cs="Tahoma"/>
          <w:i/>
          <w:sz w:val="23"/>
          <w:szCs w:val="23"/>
        </w:rPr>
        <w:t>λ</w:t>
      </w:r>
      <w:r w:rsidRPr="00BC22F7">
        <w:rPr>
          <w:rFonts w:ascii="Tahoma" w:hAnsi="Tahoma" w:cs="Tahoma"/>
          <w:sz w:val="23"/>
          <w:szCs w:val="23"/>
        </w:rPr>
        <w:t xml:space="preserve"> = .89, </w:t>
      </w:r>
      <w:r w:rsidR="00771FE6" w:rsidRPr="00BC22F7">
        <w:rPr>
          <w:rFonts w:ascii="Tahoma" w:hAnsi="Tahoma" w:cs="Tahoma"/>
          <w:i/>
          <w:color w:val="000000"/>
          <w:sz w:val="23"/>
          <w:szCs w:val="23"/>
        </w:rPr>
        <w:t>χ²</w:t>
      </w:r>
      <w:r w:rsidRPr="00BC22F7">
        <w:rPr>
          <w:rFonts w:ascii="Tahoma" w:eastAsia="Calibri" w:hAnsi="Tahoma" w:cs="Tahoma"/>
          <w:sz w:val="23"/>
          <w:szCs w:val="23"/>
        </w:rPr>
        <w:t xml:space="preserve"> = 1541.38, </w:t>
      </w:r>
      <w:r w:rsidRPr="00BC22F7">
        <w:rPr>
          <w:rFonts w:ascii="Tahoma" w:eastAsia="Calibri" w:hAnsi="Tahoma" w:cs="Tahoma"/>
          <w:i/>
          <w:sz w:val="23"/>
          <w:szCs w:val="23"/>
        </w:rPr>
        <w:t>p</w:t>
      </w:r>
      <w:r w:rsidRPr="00BC22F7">
        <w:rPr>
          <w:rFonts w:ascii="Tahoma" w:eastAsia="Calibri" w:hAnsi="Tahoma" w:cs="Tahoma"/>
          <w:sz w:val="23"/>
          <w:szCs w:val="23"/>
        </w:rPr>
        <w:t xml:space="preserve"> &lt; .001), </w:t>
      </w:r>
      <w:r w:rsidRPr="00BC22F7">
        <w:rPr>
          <w:rFonts w:ascii="Tahoma" w:hAnsi="Tahoma" w:cs="Tahoma"/>
          <w:sz w:val="23"/>
          <w:szCs w:val="23"/>
        </w:rPr>
        <w:t xml:space="preserve">which indicates that the model, including all work values, was able to significantly discriminate among the two employment </w:t>
      </w:r>
      <w:r w:rsidR="007A08CF" w:rsidRPr="00BC22F7">
        <w:rPr>
          <w:rFonts w:ascii="Tahoma" w:hAnsi="Tahoma" w:cs="Tahoma"/>
          <w:sz w:val="23"/>
          <w:szCs w:val="23"/>
        </w:rPr>
        <w:t>sectors</w:t>
      </w:r>
      <w:r w:rsidRPr="00BC22F7">
        <w:rPr>
          <w:rFonts w:ascii="Tahoma" w:hAnsi="Tahoma" w:cs="Tahoma"/>
          <w:sz w:val="23"/>
          <w:szCs w:val="23"/>
        </w:rPr>
        <w:t xml:space="preserve">. Table 3 presents the standardized function coefficients, which suggest that the following five work values contribute most to distinguishing those who are attracted to employment in the public vs. private sector </w:t>
      </w:r>
      <w:r w:rsidR="007A08CF" w:rsidRPr="00BC22F7">
        <w:rPr>
          <w:rFonts w:ascii="Tahoma" w:hAnsi="Tahoma" w:cs="Tahoma"/>
          <w:sz w:val="23"/>
          <w:szCs w:val="23"/>
        </w:rPr>
        <w:t>–</w:t>
      </w:r>
      <w:r w:rsidRPr="00BC22F7">
        <w:rPr>
          <w:rFonts w:ascii="Tahoma" w:hAnsi="Tahoma" w:cs="Tahoma"/>
          <w:sz w:val="23"/>
          <w:szCs w:val="23"/>
        </w:rPr>
        <w:t xml:space="preserve"> </w:t>
      </w:r>
      <w:r w:rsidR="007A08CF" w:rsidRPr="00BC22F7">
        <w:rPr>
          <w:rFonts w:ascii="Tahoma" w:hAnsi="Tahoma" w:cs="Tahoma"/>
          <w:sz w:val="23"/>
          <w:szCs w:val="23"/>
        </w:rPr>
        <w:t>“</w:t>
      </w:r>
      <w:r w:rsidRPr="00BC22F7">
        <w:rPr>
          <w:rFonts w:ascii="Tahoma" w:hAnsi="Tahoma" w:cs="Tahoma"/>
          <w:sz w:val="23"/>
          <w:szCs w:val="23"/>
        </w:rPr>
        <w:t>job security,</w:t>
      </w:r>
      <w:r w:rsidR="007A08CF" w:rsidRPr="00BC22F7">
        <w:rPr>
          <w:rFonts w:ascii="Tahoma" w:hAnsi="Tahoma" w:cs="Tahoma"/>
          <w:sz w:val="23"/>
          <w:szCs w:val="23"/>
        </w:rPr>
        <w:t>”</w:t>
      </w:r>
      <w:r w:rsidRPr="00BC22F7">
        <w:rPr>
          <w:rFonts w:ascii="Tahoma" w:hAnsi="Tahoma" w:cs="Tahoma"/>
          <w:sz w:val="23"/>
          <w:szCs w:val="23"/>
        </w:rPr>
        <w:t xml:space="preserve"> </w:t>
      </w:r>
      <w:r w:rsidR="007A08CF" w:rsidRPr="00BC22F7">
        <w:rPr>
          <w:rFonts w:ascii="Tahoma" w:hAnsi="Tahoma" w:cs="Tahoma"/>
          <w:sz w:val="23"/>
          <w:szCs w:val="23"/>
        </w:rPr>
        <w:t>“</w:t>
      </w:r>
      <w:r w:rsidRPr="00BC22F7">
        <w:rPr>
          <w:rFonts w:ascii="Tahoma" w:hAnsi="Tahoma" w:cs="Tahoma"/>
          <w:sz w:val="23"/>
          <w:szCs w:val="23"/>
        </w:rPr>
        <w:t>commitment to social responsibility,</w:t>
      </w:r>
      <w:r w:rsidR="007A08CF" w:rsidRPr="00BC22F7">
        <w:rPr>
          <w:rFonts w:ascii="Tahoma" w:hAnsi="Tahoma" w:cs="Tahoma"/>
          <w:sz w:val="23"/>
          <w:szCs w:val="23"/>
        </w:rPr>
        <w:t>”</w:t>
      </w:r>
      <w:r w:rsidRPr="00BC22F7">
        <w:rPr>
          <w:rFonts w:ascii="Tahoma" w:hAnsi="Tahoma" w:cs="Tahoma"/>
          <w:sz w:val="23"/>
          <w:szCs w:val="23"/>
        </w:rPr>
        <w:t xml:space="preserve"> </w:t>
      </w:r>
      <w:r w:rsidR="007A08CF" w:rsidRPr="00BC22F7">
        <w:rPr>
          <w:rFonts w:ascii="Tahoma" w:hAnsi="Tahoma" w:cs="Tahoma"/>
          <w:sz w:val="23"/>
          <w:szCs w:val="23"/>
        </w:rPr>
        <w:t>“</w:t>
      </w:r>
      <w:r w:rsidRPr="00BC22F7">
        <w:rPr>
          <w:rFonts w:ascii="Tahoma" w:hAnsi="Tahoma" w:cs="Tahoma"/>
          <w:sz w:val="23"/>
          <w:szCs w:val="23"/>
        </w:rPr>
        <w:t>health and benefits plan,</w:t>
      </w:r>
      <w:r w:rsidR="007A08CF" w:rsidRPr="00BC22F7">
        <w:rPr>
          <w:rFonts w:ascii="Tahoma" w:hAnsi="Tahoma" w:cs="Tahoma"/>
          <w:sz w:val="23"/>
          <w:szCs w:val="23"/>
        </w:rPr>
        <w:t>”</w:t>
      </w:r>
      <w:r w:rsidRPr="00BC22F7">
        <w:rPr>
          <w:rFonts w:ascii="Tahoma" w:hAnsi="Tahoma" w:cs="Tahoma"/>
          <w:sz w:val="23"/>
          <w:szCs w:val="23"/>
        </w:rPr>
        <w:t xml:space="preserve"> </w:t>
      </w:r>
      <w:r w:rsidR="007A08CF" w:rsidRPr="00BC22F7">
        <w:rPr>
          <w:rFonts w:ascii="Tahoma" w:hAnsi="Tahoma" w:cs="Tahoma"/>
          <w:sz w:val="23"/>
          <w:szCs w:val="23"/>
        </w:rPr>
        <w:t>“</w:t>
      </w:r>
      <w:r w:rsidRPr="00BC22F7">
        <w:rPr>
          <w:rFonts w:ascii="Tahoma" w:hAnsi="Tahoma" w:cs="Tahoma"/>
          <w:sz w:val="23"/>
          <w:szCs w:val="23"/>
        </w:rPr>
        <w:t>organization is a leader in its field,</w:t>
      </w:r>
      <w:r w:rsidR="007A08CF" w:rsidRPr="00BC22F7">
        <w:rPr>
          <w:rFonts w:ascii="Tahoma" w:hAnsi="Tahoma" w:cs="Tahoma"/>
          <w:sz w:val="23"/>
          <w:szCs w:val="23"/>
        </w:rPr>
        <w:t>”</w:t>
      </w:r>
      <w:r w:rsidRPr="00BC22F7">
        <w:rPr>
          <w:rFonts w:ascii="Tahoma" w:hAnsi="Tahoma" w:cs="Tahoma"/>
          <w:sz w:val="23"/>
          <w:szCs w:val="23"/>
        </w:rPr>
        <w:t xml:space="preserve"> and </w:t>
      </w:r>
      <w:r w:rsidR="007A08CF" w:rsidRPr="00BC22F7">
        <w:rPr>
          <w:rFonts w:ascii="Tahoma" w:hAnsi="Tahoma" w:cs="Tahoma"/>
          <w:sz w:val="23"/>
          <w:szCs w:val="23"/>
        </w:rPr>
        <w:t>“</w:t>
      </w:r>
      <w:r w:rsidRPr="00BC22F7">
        <w:rPr>
          <w:rFonts w:ascii="Tahoma" w:hAnsi="Tahoma" w:cs="Tahoma"/>
          <w:sz w:val="23"/>
          <w:szCs w:val="23"/>
        </w:rPr>
        <w:t>opportunities for advancement.</w:t>
      </w:r>
      <w:r w:rsidR="007A08CF" w:rsidRPr="00BC22F7">
        <w:rPr>
          <w:rFonts w:ascii="Tahoma" w:hAnsi="Tahoma" w:cs="Tahoma"/>
          <w:sz w:val="23"/>
          <w:szCs w:val="23"/>
        </w:rPr>
        <w:t>”</w:t>
      </w:r>
      <w:r w:rsidRPr="00BC22F7">
        <w:rPr>
          <w:rFonts w:ascii="Tahoma" w:hAnsi="Tahoma" w:cs="Tahoma"/>
          <w:sz w:val="23"/>
          <w:szCs w:val="23"/>
        </w:rPr>
        <w:t xml:space="preserve"> Overall, the classification results for the </w:t>
      </w:r>
      <w:proofErr w:type="spellStart"/>
      <w:r w:rsidRPr="00BC22F7">
        <w:rPr>
          <w:rFonts w:ascii="Tahoma" w:hAnsi="Tahoma" w:cs="Tahoma"/>
          <w:sz w:val="23"/>
          <w:szCs w:val="23"/>
        </w:rPr>
        <w:t>discriminant</w:t>
      </w:r>
      <w:proofErr w:type="spellEnd"/>
      <w:r w:rsidRPr="00BC22F7">
        <w:rPr>
          <w:rFonts w:ascii="Tahoma" w:hAnsi="Tahoma" w:cs="Tahoma"/>
          <w:sz w:val="23"/>
          <w:szCs w:val="23"/>
        </w:rPr>
        <w:t xml:space="preserve"> function demonstrate that the model correctly predicts 67.2% of cases reporting a </w:t>
      </w:r>
      <w:r w:rsidRPr="00BC22F7">
        <w:rPr>
          <w:rFonts w:ascii="Tahoma" w:hAnsi="Tahoma" w:cs="Tahoma"/>
          <w:sz w:val="23"/>
          <w:szCs w:val="23"/>
        </w:rPr>
        <w:lastRenderedPageBreak/>
        <w:t xml:space="preserve">preference for public </w:t>
      </w:r>
      <w:r w:rsidR="007A08CF" w:rsidRPr="00BC22F7">
        <w:rPr>
          <w:rFonts w:ascii="Tahoma" w:hAnsi="Tahoma" w:cs="Tahoma"/>
          <w:sz w:val="23"/>
          <w:szCs w:val="23"/>
        </w:rPr>
        <w:t>service</w:t>
      </w:r>
      <w:r w:rsidRPr="00BC22F7">
        <w:rPr>
          <w:rFonts w:ascii="Tahoma" w:hAnsi="Tahoma" w:cs="Tahoma"/>
          <w:sz w:val="23"/>
          <w:szCs w:val="23"/>
        </w:rPr>
        <w:t xml:space="preserve"> and 60.2% of cases reporting a preference for private sector employment. The correlation coefficients in Table 2 indicate the strength of association between each work value and the resultant “public vs. private sector" </w:t>
      </w:r>
      <w:proofErr w:type="spellStart"/>
      <w:proofErr w:type="gramStart"/>
      <w:r w:rsidRPr="00BC22F7">
        <w:rPr>
          <w:rFonts w:ascii="Tahoma" w:hAnsi="Tahoma" w:cs="Tahoma"/>
          <w:sz w:val="23"/>
          <w:szCs w:val="23"/>
        </w:rPr>
        <w:t>discriminant</w:t>
      </w:r>
      <w:proofErr w:type="spellEnd"/>
      <w:r w:rsidRPr="00BC22F7">
        <w:rPr>
          <w:rFonts w:ascii="Tahoma" w:hAnsi="Tahoma" w:cs="Tahoma"/>
          <w:sz w:val="23"/>
          <w:szCs w:val="23"/>
        </w:rPr>
        <w:t xml:space="preserve"> function</w:t>
      </w:r>
      <w:proofErr w:type="gramEnd"/>
      <w:r w:rsidR="006F1576" w:rsidRPr="00BC22F7">
        <w:rPr>
          <w:rFonts w:ascii="Tahoma" w:hAnsi="Tahoma" w:cs="Tahoma"/>
          <w:sz w:val="23"/>
          <w:szCs w:val="23"/>
        </w:rPr>
        <w:t xml:space="preserve">; </w:t>
      </w:r>
      <w:r w:rsidRPr="00BC22F7">
        <w:rPr>
          <w:rFonts w:ascii="Tahoma" w:hAnsi="Tahoma" w:cs="Tahoma"/>
          <w:sz w:val="23"/>
          <w:szCs w:val="23"/>
        </w:rPr>
        <w:t>positive coefficients predict public service while negative coefficients predict private sector employment.</w:t>
      </w:r>
      <w:r w:rsidR="006F1576" w:rsidRPr="00BC22F7">
        <w:rPr>
          <w:rFonts w:ascii="Tahoma" w:hAnsi="Tahoma" w:cs="Tahoma"/>
          <w:sz w:val="23"/>
          <w:szCs w:val="23"/>
        </w:rPr>
        <w:t xml:space="preserve"> </w:t>
      </w:r>
      <w:r w:rsidRPr="00BC22F7">
        <w:rPr>
          <w:rFonts w:ascii="Tahoma" w:hAnsi="Tahoma" w:cs="Tahoma"/>
          <w:sz w:val="23"/>
          <w:szCs w:val="23"/>
        </w:rPr>
        <w:t xml:space="preserve">In addition to the five work values that yielded the highest standardized function coefficients, </w:t>
      </w:r>
      <w:r w:rsidR="007A08CF" w:rsidRPr="00BC22F7">
        <w:rPr>
          <w:rFonts w:ascii="Tahoma" w:hAnsi="Tahoma" w:cs="Tahoma"/>
          <w:sz w:val="23"/>
          <w:szCs w:val="23"/>
        </w:rPr>
        <w:t>“</w:t>
      </w:r>
      <w:r w:rsidRPr="00BC22F7">
        <w:rPr>
          <w:rFonts w:ascii="Tahoma" w:hAnsi="Tahoma" w:cs="Tahoma"/>
          <w:sz w:val="23"/>
          <w:szCs w:val="23"/>
        </w:rPr>
        <w:t>commitment to employee diversity</w:t>
      </w:r>
      <w:r w:rsidR="007A08CF" w:rsidRPr="00BC22F7">
        <w:rPr>
          <w:rFonts w:ascii="Tahoma" w:hAnsi="Tahoma" w:cs="Tahoma"/>
          <w:sz w:val="23"/>
          <w:szCs w:val="23"/>
        </w:rPr>
        <w:t>”</w:t>
      </w:r>
      <w:r w:rsidRPr="00BC22F7">
        <w:rPr>
          <w:rFonts w:ascii="Tahoma" w:hAnsi="Tahoma" w:cs="Tahoma"/>
          <w:sz w:val="23"/>
          <w:szCs w:val="23"/>
        </w:rPr>
        <w:t xml:space="preserve"> also emerged as a significant correlate of respondents’ preference for public vs. private sector employment. Thus, </w:t>
      </w:r>
      <w:r w:rsidR="006F1576" w:rsidRPr="00BC22F7">
        <w:rPr>
          <w:rFonts w:ascii="Tahoma" w:hAnsi="Tahoma" w:cs="Tahoma"/>
          <w:sz w:val="23"/>
          <w:szCs w:val="23"/>
        </w:rPr>
        <w:t>t</w:t>
      </w:r>
      <w:r w:rsidR="007A08CF" w:rsidRPr="00BC22F7">
        <w:rPr>
          <w:rFonts w:ascii="Tahoma" w:hAnsi="Tahoma" w:cs="Tahoma"/>
          <w:sz w:val="23"/>
          <w:szCs w:val="23"/>
        </w:rPr>
        <w:t xml:space="preserve">he </w:t>
      </w:r>
      <w:r w:rsidRPr="00BC22F7">
        <w:rPr>
          <w:rFonts w:ascii="Tahoma" w:hAnsi="Tahoma" w:cs="Tahoma"/>
          <w:sz w:val="23"/>
          <w:szCs w:val="23"/>
        </w:rPr>
        <w:t xml:space="preserve">results from the </w:t>
      </w:r>
      <w:proofErr w:type="spellStart"/>
      <w:r w:rsidRPr="00BC22F7">
        <w:rPr>
          <w:rFonts w:ascii="Tahoma" w:hAnsi="Tahoma" w:cs="Tahoma"/>
          <w:sz w:val="23"/>
          <w:szCs w:val="23"/>
        </w:rPr>
        <w:t>discriminant</w:t>
      </w:r>
      <w:proofErr w:type="spellEnd"/>
      <w:r w:rsidRPr="00BC22F7">
        <w:rPr>
          <w:rFonts w:ascii="Tahoma" w:hAnsi="Tahoma" w:cs="Tahoma"/>
          <w:sz w:val="23"/>
          <w:szCs w:val="23"/>
        </w:rPr>
        <w:t xml:space="preserve"> analysis </w:t>
      </w:r>
      <w:r w:rsidR="006F1576" w:rsidRPr="00BC22F7">
        <w:rPr>
          <w:rFonts w:ascii="Tahoma" w:hAnsi="Tahoma" w:cs="Tahoma"/>
          <w:sz w:val="23"/>
          <w:szCs w:val="23"/>
        </w:rPr>
        <w:t xml:space="preserve">identify four </w:t>
      </w:r>
      <w:r w:rsidRPr="00BC22F7">
        <w:rPr>
          <w:rFonts w:ascii="Tahoma" w:hAnsi="Tahoma" w:cs="Tahoma"/>
          <w:sz w:val="23"/>
          <w:szCs w:val="23"/>
        </w:rPr>
        <w:t xml:space="preserve">key work values </w:t>
      </w:r>
      <w:r w:rsidR="006F1576" w:rsidRPr="00BC22F7">
        <w:rPr>
          <w:rFonts w:ascii="Tahoma" w:hAnsi="Tahoma" w:cs="Tahoma"/>
          <w:sz w:val="23"/>
          <w:szCs w:val="23"/>
        </w:rPr>
        <w:t xml:space="preserve">that </w:t>
      </w:r>
      <w:r w:rsidRPr="00BC22F7">
        <w:rPr>
          <w:rFonts w:ascii="Tahoma" w:hAnsi="Tahoma" w:cs="Tahoma"/>
          <w:sz w:val="23"/>
          <w:szCs w:val="23"/>
        </w:rPr>
        <w:t xml:space="preserve">significantly predict preference for public sector: </w:t>
      </w:r>
      <w:r w:rsidR="007A08CF" w:rsidRPr="00BC22F7">
        <w:rPr>
          <w:rFonts w:ascii="Tahoma" w:hAnsi="Tahoma" w:cs="Tahoma"/>
          <w:sz w:val="23"/>
          <w:szCs w:val="23"/>
        </w:rPr>
        <w:t>“</w:t>
      </w:r>
      <w:r w:rsidRPr="00BC22F7">
        <w:rPr>
          <w:rFonts w:ascii="Tahoma" w:hAnsi="Tahoma" w:cs="Tahoma"/>
          <w:sz w:val="23"/>
          <w:szCs w:val="23"/>
        </w:rPr>
        <w:t>job security,</w:t>
      </w:r>
      <w:r w:rsidR="007A08CF" w:rsidRPr="00BC22F7">
        <w:rPr>
          <w:rFonts w:ascii="Tahoma" w:hAnsi="Tahoma" w:cs="Tahoma"/>
          <w:sz w:val="23"/>
          <w:szCs w:val="23"/>
        </w:rPr>
        <w:t>”</w:t>
      </w:r>
      <w:r w:rsidRPr="00BC22F7">
        <w:rPr>
          <w:rFonts w:ascii="Tahoma" w:hAnsi="Tahoma" w:cs="Tahoma"/>
          <w:sz w:val="23"/>
          <w:szCs w:val="23"/>
        </w:rPr>
        <w:t xml:space="preserve"> </w:t>
      </w:r>
      <w:r w:rsidR="007A08CF" w:rsidRPr="00BC22F7">
        <w:rPr>
          <w:rFonts w:ascii="Tahoma" w:hAnsi="Tahoma" w:cs="Tahoma"/>
          <w:sz w:val="23"/>
          <w:szCs w:val="23"/>
        </w:rPr>
        <w:t>“</w:t>
      </w:r>
      <w:r w:rsidRPr="00BC22F7">
        <w:rPr>
          <w:rFonts w:ascii="Tahoma" w:hAnsi="Tahoma" w:cs="Tahoma"/>
          <w:sz w:val="23"/>
          <w:szCs w:val="23"/>
        </w:rPr>
        <w:t>commitment to social responsibility,</w:t>
      </w:r>
      <w:r w:rsidR="007A08CF" w:rsidRPr="00BC22F7">
        <w:rPr>
          <w:rFonts w:ascii="Tahoma" w:hAnsi="Tahoma" w:cs="Tahoma"/>
          <w:sz w:val="23"/>
          <w:szCs w:val="23"/>
        </w:rPr>
        <w:t>”</w:t>
      </w:r>
      <w:r w:rsidRPr="00BC22F7">
        <w:rPr>
          <w:rFonts w:ascii="Tahoma" w:hAnsi="Tahoma" w:cs="Tahoma"/>
          <w:sz w:val="23"/>
          <w:szCs w:val="23"/>
        </w:rPr>
        <w:t xml:space="preserve"> </w:t>
      </w:r>
      <w:r w:rsidR="007A08CF" w:rsidRPr="00BC22F7">
        <w:rPr>
          <w:rFonts w:ascii="Tahoma" w:hAnsi="Tahoma" w:cs="Tahoma"/>
          <w:sz w:val="23"/>
          <w:szCs w:val="23"/>
        </w:rPr>
        <w:t>“</w:t>
      </w:r>
      <w:r w:rsidRPr="00BC22F7">
        <w:rPr>
          <w:rFonts w:ascii="Tahoma" w:hAnsi="Tahoma" w:cs="Tahoma"/>
          <w:sz w:val="23"/>
          <w:szCs w:val="23"/>
        </w:rPr>
        <w:t>health and benefits plan,</w:t>
      </w:r>
      <w:r w:rsidR="007A08CF" w:rsidRPr="00BC22F7">
        <w:rPr>
          <w:rFonts w:ascii="Tahoma" w:hAnsi="Tahoma" w:cs="Tahoma"/>
          <w:sz w:val="23"/>
          <w:szCs w:val="23"/>
        </w:rPr>
        <w:t>”</w:t>
      </w:r>
      <w:r w:rsidRPr="00BC22F7">
        <w:rPr>
          <w:rFonts w:ascii="Tahoma" w:hAnsi="Tahoma" w:cs="Tahoma"/>
          <w:sz w:val="23"/>
          <w:szCs w:val="23"/>
        </w:rPr>
        <w:t xml:space="preserve"> </w:t>
      </w:r>
      <w:r w:rsidR="007A08CF" w:rsidRPr="00BC22F7">
        <w:rPr>
          <w:rFonts w:ascii="Tahoma" w:hAnsi="Tahoma" w:cs="Tahoma"/>
          <w:sz w:val="23"/>
          <w:szCs w:val="23"/>
        </w:rPr>
        <w:t>“</w:t>
      </w:r>
      <w:r w:rsidRPr="00BC22F7">
        <w:rPr>
          <w:rFonts w:ascii="Tahoma" w:hAnsi="Tahoma" w:cs="Tahoma"/>
          <w:sz w:val="23"/>
          <w:szCs w:val="23"/>
        </w:rPr>
        <w:t>commitment to employee diversity,</w:t>
      </w:r>
      <w:r w:rsidR="007A08CF" w:rsidRPr="00BC22F7">
        <w:rPr>
          <w:rFonts w:ascii="Tahoma" w:hAnsi="Tahoma" w:cs="Tahoma"/>
          <w:sz w:val="23"/>
          <w:szCs w:val="23"/>
        </w:rPr>
        <w:t>”</w:t>
      </w:r>
      <w:r w:rsidR="006F1576" w:rsidRPr="00BC22F7">
        <w:rPr>
          <w:rFonts w:ascii="Tahoma" w:hAnsi="Tahoma" w:cs="Tahoma"/>
          <w:sz w:val="23"/>
          <w:szCs w:val="23"/>
        </w:rPr>
        <w:t xml:space="preserve"> and two that identify a preference for private sector employment: </w:t>
      </w:r>
      <w:r w:rsidR="007A08CF" w:rsidRPr="00BC22F7">
        <w:rPr>
          <w:rFonts w:ascii="Tahoma" w:hAnsi="Tahoma" w:cs="Tahoma"/>
          <w:sz w:val="23"/>
          <w:szCs w:val="23"/>
        </w:rPr>
        <w:t>“</w:t>
      </w:r>
      <w:r w:rsidRPr="00BC22F7">
        <w:rPr>
          <w:rFonts w:ascii="Tahoma" w:hAnsi="Tahoma" w:cs="Tahoma"/>
          <w:sz w:val="23"/>
          <w:szCs w:val="23"/>
        </w:rPr>
        <w:t>organization is a leader in its field,</w:t>
      </w:r>
      <w:r w:rsidR="007A08CF" w:rsidRPr="00BC22F7">
        <w:rPr>
          <w:rFonts w:ascii="Tahoma" w:hAnsi="Tahoma" w:cs="Tahoma"/>
          <w:sz w:val="23"/>
          <w:szCs w:val="23"/>
        </w:rPr>
        <w:t>”</w:t>
      </w:r>
      <w:r w:rsidRPr="00BC22F7">
        <w:rPr>
          <w:rFonts w:ascii="Tahoma" w:hAnsi="Tahoma" w:cs="Tahoma"/>
          <w:sz w:val="23"/>
          <w:szCs w:val="23"/>
        </w:rPr>
        <w:t xml:space="preserve"> and </w:t>
      </w:r>
      <w:r w:rsidR="007A08CF" w:rsidRPr="00BC22F7">
        <w:rPr>
          <w:rFonts w:ascii="Tahoma" w:hAnsi="Tahoma" w:cs="Tahoma"/>
          <w:sz w:val="23"/>
          <w:szCs w:val="23"/>
        </w:rPr>
        <w:t>“</w:t>
      </w:r>
      <w:r w:rsidRPr="00BC22F7">
        <w:rPr>
          <w:rFonts w:ascii="Tahoma" w:hAnsi="Tahoma" w:cs="Tahoma"/>
          <w:sz w:val="23"/>
          <w:szCs w:val="23"/>
        </w:rPr>
        <w:t>opportunities for advancement.</w:t>
      </w:r>
      <w:r w:rsidR="007A08CF" w:rsidRPr="00BC22F7">
        <w:rPr>
          <w:rFonts w:ascii="Tahoma" w:hAnsi="Tahoma" w:cs="Tahoma"/>
          <w:sz w:val="23"/>
          <w:szCs w:val="23"/>
        </w:rPr>
        <w:t>”</w:t>
      </w:r>
    </w:p>
    <w:p w:rsidR="00776C0B" w:rsidRPr="00BC22F7" w:rsidRDefault="00776C0B" w:rsidP="00B9229A">
      <w:pPr>
        <w:spacing w:after="0" w:line="240" w:lineRule="auto"/>
        <w:rPr>
          <w:rFonts w:ascii="Tahoma" w:hAnsi="Tahoma" w:cs="Tahoma"/>
          <w:sz w:val="23"/>
          <w:szCs w:val="23"/>
        </w:rPr>
      </w:pPr>
    </w:p>
    <w:p w:rsidR="00AC7B7F" w:rsidRPr="00BC22F7" w:rsidRDefault="004A5F37" w:rsidP="005E533A">
      <w:pPr>
        <w:spacing w:after="0" w:line="240" w:lineRule="auto"/>
        <w:ind w:firstLine="720"/>
        <w:rPr>
          <w:rFonts w:ascii="Tahoma" w:hAnsi="Tahoma" w:cs="Tahoma"/>
          <w:sz w:val="23"/>
          <w:szCs w:val="23"/>
        </w:rPr>
      </w:pPr>
      <w:r w:rsidRPr="00BC22F7">
        <w:rPr>
          <w:rFonts w:ascii="Tahoma" w:hAnsi="Tahoma" w:cs="Tahoma"/>
          <w:sz w:val="23"/>
          <w:szCs w:val="23"/>
        </w:rPr>
        <w:t xml:space="preserve">To examine whether the demographic groups differ on these key work values that predict public sector work attraction, a MANOVA was conducted in which the five demographic groups were entered as independent variables and the six work values most strongly associated with public sector attraction were included as dependent variables. Multivariate analyses indicated significant main effects for each of the demographic groups on the work values composite (gender: </w:t>
      </w:r>
      <w:r w:rsidRPr="00BC22F7">
        <w:rPr>
          <w:rFonts w:ascii="Tahoma" w:hAnsi="Tahoma" w:cs="Tahoma"/>
          <w:i/>
          <w:sz w:val="23"/>
          <w:szCs w:val="23"/>
        </w:rPr>
        <w:t xml:space="preserve">F </w:t>
      </w:r>
      <w:r w:rsidRPr="00BC22F7">
        <w:rPr>
          <w:rFonts w:ascii="Tahoma" w:hAnsi="Tahoma" w:cs="Tahoma"/>
          <w:sz w:val="23"/>
          <w:szCs w:val="23"/>
        </w:rPr>
        <w:t>(6, 12873) = 231.93,</w:t>
      </w:r>
      <w:r w:rsidRPr="00BC22F7">
        <w:rPr>
          <w:rFonts w:ascii="Tahoma" w:hAnsi="Tahoma" w:cs="Tahoma"/>
          <w:i/>
          <w:sz w:val="23"/>
          <w:szCs w:val="23"/>
        </w:rPr>
        <w:t xml:space="preserve"> p</w:t>
      </w:r>
      <w:r w:rsidRPr="00BC22F7">
        <w:rPr>
          <w:rFonts w:ascii="Tahoma" w:hAnsi="Tahoma" w:cs="Tahoma"/>
          <w:sz w:val="23"/>
          <w:szCs w:val="23"/>
        </w:rPr>
        <w:t xml:space="preserve"> &lt; .001; visible minority: </w:t>
      </w:r>
      <w:r w:rsidRPr="00BC22F7">
        <w:rPr>
          <w:rFonts w:ascii="Tahoma" w:hAnsi="Tahoma" w:cs="Tahoma"/>
          <w:i/>
          <w:sz w:val="23"/>
          <w:szCs w:val="23"/>
        </w:rPr>
        <w:t xml:space="preserve">F </w:t>
      </w:r>
      <w:r w:rsidRPr="00BC22F7">
        <w:rPr>
          <w:rFonts w:ascii="Tahoma" w:hAnsi="Tahoma" w:cs="Tahoma"/>
          <w:sz w:val="23"/>
          <w:szCs w:val="23"/>
        </w:rPr>
        <w:t xml:space="preserve">(6, 12873) = 157.03, </w:t>
      </w:r>
      <w:r w:rsidRPr="00BC22F7">
        <w:rPr>
          <w:rFonts w:ascii="Tahoma" w:hAnsi="Tahoma" w:cs="Tahoma"/>
          <w:i/>
          <w:sz w:val="23"/>
          <w:szCs w:val="23"/>
        </w:rPr>
        <w:t>p</w:t>
      </w:r>
      <w:r w:rsidRPr="00BC22F7">
        <w:rPr>
          <w:rFonts w:ascii="Tahoma" w:hAnsi="Tahoma" w:cs="Tahoma"/>
          <w:sz w:val="23"/>
          <w:szCs w:val="23"/>
        </w:rPr>
        <w:t xml:space="preserve"> &lt; .001; </w:t>
      </w:r>
      <w:r w:rsidR="007A08CF" w:rsidRPr="00BC22F7">
        <w:rPr>
          <w:rFonts w:ascii="Tahoma" w:hAnsi="Tahoma" w:cs="Tahoma"/>
          <w:sz w:val="23"/>
          <w:szCs w:val="23"/>
        </w:rPr>
        <w:t>A</w:t>
      </w:r>
      <w:r w:rsidRPr="00BC22F7">
        <w:rPr>
          <w:rFonts w:ascii="Tahoma" w:hAnsi="Tahoma" w:cs="Tahoma"/>
          <w:sz w:val="23"/>
          <w:szCs w:val="23"/>
        </w:rPr>
        <w:t xml:space="preserve">boriginal peoples: </w:t>
      </w:r>
      <w:r w:rsidRPr="00BC22F7">
        <w:rPr>
          <w:rFonts w:ascii="Tahoma" w:hAnsi="Tahoma" w:cs="Tahoma"/>
          <w:i/>
          <w:sz w:val="23"/>
          <w:szCs w:val="23"/>
        </w:rPr>
        <w:t xml:space="preserve">F </w:t>
      </w:r>
      <w:r w:rsidRPr="00BC22F7">
        <w:rPr>
          <w:rFonts w:ascii="Tahoma" w:hAnsi="Tahoma" w:cs="Tahoma"/>
          <w:sz w:val="23"/>
          <w:szCs w:val="23"/>
        </w:rPr>
        <w:t xml:space="preserve">(6, 12873) = 3.93, </w:t>
      </w:r>
      <w:r w:rsidRPr="00BC22F7">
        <w:rPr>
          <w:rFonts w:ascii="Tahoma" w:hAnsi="Tahoma" w:cs="Tahoma"/>
          <w:i/>
          <w:sz w:val="23"/>
          <w:szCs w:val="23"/>
        </w:rPr>
        <w:t>p</w:t>
      </w:r>
      <w:r w:rsidRPr="00BC22F7">
        <w:rPr>
          <w:rFonts w:ascii="Tahoma" w:hAnsi="Tahoma" w:cs="Tahoma"/>
          <w:sz w:val="23"/>
          <w:szCs w:val="23"/>
        </w:rPr>
        <w:t xml:space="preserve"> &lt; .001; persons with disabilities: </w:t>
      </w:r>
      <w:r w:rsidRPr="00BC22F7">
        <w:rPr>
          <w:rFonts w:ascii="Tahoma" w:hAnsi="Tahoma" w:cs="Tahoma"/>
          <w:i/>
          <w:sz w:val="23"/>
          <w:szCs w:val="23"/>
        </w:rPr>
        <w:t xml:space="preserve">F </w:t>
      </w:r>
      <w:r w:rsidRPr="00BC22F7">
        <w:rPr>
          <w:rFonts w:ascii="Tahoma" w:hAnsi="Tahoma" w:cs="Tahoma"/>
          <w:sz w:val="23"/>
          <w:szCs w:val="23"/>
        </w:rPr>
        <w:t xml:space="preserve">(6, 12873) = 3.59, </w:t>
      </w:r>
      <w:r w:rsidRPr="00BC22F7">
        <w:rPr>
          <w:rFonts w:ascii="Tahoma" w:hAnsi="Tahoma" w:cs="Tahoma"/>
          <w:i/>
          <w:sz w:val="23"/>
          <w:szCs w:val="23"/>
        </w:rPr>
        <w:t>p</w:t>
      </w:r>
      <w:r w:rsidRPr="00BC22F7">
        <w:rPr>
          <w:rFonts w:ascii="Tahoma" w:hAnsi="Tahoma" w:cs="Tahoma"/>
          <w:sz w:val="23"/>
          <w:szCs w:val="23"/>
        </w:rPr>
        <w:t xml:space="preserve"> &lt; .001; LGBT: </w:t>
      </w:r>
      <w:r w:rsidRPr="00BC22F7">
        <w:rPr>
          <w:rFonts w:ascii="Tahoma" w:hAnsi="Tahoma" w:cs="Tahoma"/>
          <w:i/>
          <w:sz w:val="23"/>
          <w:szCs w:val="23"/>
        </w:rPr>
        <w:t xml:space="preserve">F </w:t>
      </w:r>
      <w:r w:rsidRPr="00BC22F7">
        <w:rPr>
          <w:rFonts w:ascii="Tahoma" w:hAnsi="Tahoma" w:cs="Tahoma"/>
          <w:sz w:val="23"/>
          <w:szCs w:val="23"/>
        </w:rPr>
        <w:t xml:space="preserve">(6, 12873) = 25.50, </w:t>
      </w:r>
      <w:r w:rsidRPr="00BC22F7">
        <w:rPr>
          <w:rFonts w:ascii="Tahoma" w:hAnsi="Tahoma" w:cs="Tahoma"/>
          <w:i/>
          <w:sz w:val="23"/>
          <w:szCs w:val="23"/>
        </w:rPr>
        <w:t>p</w:t>
      </w:r>
      <w:r w:rsidRPr="00BC22F7">
        <w:rPr>
          <w:rFonts w:ascii="Tahoma" w:hAnsi="Tahoma" w:cs="Tahoma"/>
          <w:sz w:val="23"/>
          <w:szCs w:val="23"/>
        </w:rPr>
        <w:t xml:space="preserve"> &lt; .001). Follow-up ANOVAs (see Table 4) were conducted to examine the pattern of main effects for each demographic variable. As shown in Table 4, two demographic groups exhibited a somewhat consistent pattern of responding across work values. Specifically, visible minorities reported significantly higher ratings on each of the six work values relative to non-visible minorities. Furthermore, women reported significantly higher ratings on four work values compared to men: job security, commitment to social responsibility, health and benefits, and commitment to employee diversity. Echoing this trend, </w:t>
      </w:r>
      <w:r w:rsidR="007A08CF" w:rsidRPr="00BC22F7">
        <w:rPr>
          <w:rFonts w:ascii="Tahoma" w:hAnsi="Tahoma" w:cs="Tahoma"/>
          <w:sz w:val="23"/>
          <w:szCs w:val="23"/>
        </w:rPr>
        <w:t>A</w:t>
      </w:r>
      <w:r w:rsidRPr="00BC22F7">
        <w:rPr>
          <w:rFonts w:ascii="Tahoma" w:hAnsi="Tahoma" w:cs="Tahoma"/>
          <w:sz w:val="23"/>
          <w:szCs w:val="23"/>
        </w:rPr>
        <w:t xml:space="preserve">boriginal peoples reported higher scores on two work values: social responsibility and commitment to employee diversity. Interestingly, persons with disabilities reported higher ratings of commitment to employee diversity than individuals without disabilities, but lower ratings of opportunities for advancement. Finally, LGBT group members also tended to place a higher value on attributes such as commitment to social responsibility and diversity, but a significantly lower value on work factors as job security, organization is </w:t>
      </w:r>
      <w:r w:rsidR="007A08CF" w:rsidRPr="00BC22F7">
        <w:rPr>
          <w:rFonts w:ascii="Tahoma" w:hAnsi="Tahoma" w:cs="Tahoma"/>
          <w:sz w:val="23"/>
          <w:szCs w:val="23"/>
        </w:rPr>
        <w:t xml:space="preserve">a </w:t>
      </w:r>
      <w:r w:rsidRPr="00BC22F7">
        <w:rPr>
          <w:rFonts w:ascii="Tahoma" w:hAnsi="Tahoma" w:cs="Tahoma"/>
          <w:sz w:val="23"/>
          <w:szCs w:val="23"/>
        </w:rPr>
        <w:t xml:space="preserve">leader in its field, and opportunities for advancement. Overall, these findings indicate that while each demographic group appears to place a different emphasis on each of the </w:t>
      </w:r>
      <w:r w:rsidR="0067652B" w:rsidRPr="00BC22F7">
        <w:rPr>
          <w:rFonts w:ascii="Tahoma" w:hAnsi="Tahoma" w:cs="Tahoma"/>
          <w:sz w:val="23"/>
          <w:szCs w:val="23"/>
        </w:rPr>
        <w:t xml:space="preserve">work values, </w:t>
      </w:r>
      <w:r w:rsidRPr="00BC22F7">
        <w:rPr>
          <w:rFonts w:ascii="Tahoma" w:hAnsi="Tahoma" w:cs="Tahoma"/>
          <w:sz w:val="23"/>
          <w:szCs w:val="23"/>
        </w:rPr>
        <w:t xml:space="preserve">two values emerged as particularly important across each of the </w:t>
      </w:r>
      <w:r w:rsidR="00771FE6" w:rsidRPr="00BC22F7">
        <w:rPr>
          <w:rFonts w:ascii="Tahoma" w:hAnsi="Tahoma" w:cs="Tahoma"/>
          <w:sz w:val="23"/>
          <w:szCs w:val="23"/>
        </w:rPr>
        <w:t>underrepresented groups: commitment to social responsibility</w:t>
      </w:r>
      <w:r w:rsidRPr="00BC22F7">
        <w:rPr>
          <w:rFonts w:ascii="Tahoma" w:hAnsi="Tahoma" w:cs="Tahoma"/>
          <w:sz w:val="23"/>
          <w:szCs w:val="23"/>
        </w:rPr>
        <w:t>, and commitment to diversity</w:t>
      </w:r>
      <w:r w:rsidRPr="00BC22F7">
        <w:rPr>
          <w:rStyle w:val="FootnoteReference"/>
          <w:rFonts w:ascii="Tahoma" w:hAnsi="Tahoma" w:cs="Tahoma"/>
          <w:sz w:val="23"/>
          <w:szCs w:val="23"/>
        </w:rPr>
        <w:footnoteReference w:id="4"/>
      </w:r>
      <w:r w:rsidR="00771FE6" w:rsidRPr="00BC22F7">
        <w:rPr>
          <w:rFonts w:ascii="Tahoma" w:hAnsi="Tahoma" w:cs="Tahoma"/>
          <w:sz w:val="23"/>
          <w:szCs w:val="23"/>
        </w:rPr>
        <w:t xml:space="preserve">.  </w:t>
      </w:r>
    </w:p>
    <w:p w:rsidR="003B286E" w:rsidRPr="00BC22F7" w:rsidRDefault="003B286E" w:rsidP="005E533A">
      <w:pPr>
        <w:spacing w:after="0" w:line="240" w:lineRule="auto"/>
        <w:ind w:firstLine="720"/>
        <w:rPr>
          <w:rFonts w:ascii="Tahoma" w:hAnsi="Tahoma" w:cs="Tahoma"/>
          <w:sz w:val="23"/>
          <w:szCs w:val="23"/>
        </w:rPr>
      </w:pPr>
    </w:p>
    <w:p w:rsidR="003B286E" w:rsidRPr="00BC22F7" w:rsidRDefault="00771FE6" w:rsidP="003B286E">
      <w:pPr>
        <w:spacing w:after="0" w:line="240" w:lineRule="auto"/>
        <w:jc w:val="center"/>
        <w:rPr>
          <w:rFonts w:ascii="Tahoma" w:hAnsi="Tahoma" w:cs="Tahoma"/>
          <w:sz w:val="23"/>
          <w:szCs w:val="23"/>
        </w:rPr>
      </w:pPr>
      <w:r w:rsidRPr="00BC22F7">
        <w:rPr>
          <w:rFonts w:ascii="Tahoma" w:hAnsi="Tahoma" w:cs="Tahoma"/>
          <w:sz w:val="23"/>
          <w:szCs w:val="23"/>
        </w:rPr>
        <w:t>Discussion</w:t>
      </w:r>
    </w:p>
    <w:p w:rsidR="00E94899" w:rsidRPr="00BC22F7" w:rsidRDefault="00E94899" w:rsidP="00B9229A">
      <w:pPr>
        <w:spacing w:after="0" w:line="240" w:lineRule="auto"/>
        <w:rPr>
          <w:rFonts w:ascii="Tahoma" w:hAnsi="Tahoma" w:cs="Tahoma"/>
          <w:sz w:val="23"/>
          <w:szCs w:val="23"/>
        </w:rPr>
      </w:pPr>
    </w:p>
    <w:p w:rsidR="00DB2FFF" w:rsidRPr="00BC22F7" w:rsidRDefault="00424BDA">
      <w:pPr>
        <w:spacing w:after="0" w:line="240" w:lineRule="auto"/>
        <w:ind w:firstLine="720"/>
        <w:rPr>
          <w:rFonts w:ascii="Tahoma" w:hAnsi="Tahoma" w:cs="Tahoma"/>
          <w:sz w:val="23"/>
          <w:szCs w:val="23"/>
        </w:rPr>
      </w:pPr>
      <w:r w:rsidRPr="00BC22F7">
        <w:rPr>
          <w:rFonts w:ascii="Tahoma" w:hAnsi="Tahoma" w:cs="Tahoma"/>
          <w:sz w:val="23"/>
          <w:szCs w:val="23"/>
        </w:rPr>
        <w:t xml:space="preserve">Given increasing </w:t>
      </w:r>
      <w:r w:rsidR="00B27EB6" w:rsidRPr="00BC22F7">
        <w:rPr>
          <w:rFonts w:ascii="Tahoma" w:hAnsi="Tahoma" w:cs="Tahoma"/>
          <w:sz w:val="23"/>
          <w:szCs w:val="23"/>
        </w:rPr>
        <w:t xml:space="preserve">levels of </w:t>
      </w:r>
      <w:r w:rsidRPr="00BC22F7">
        <w:rPr>
          <w:rFonts w:ascii="Tahoma" w:hAnsi="Tahoma" w:cs="Tahoma"/>
          <w:sz w:val="23"/>
          <w:szCs w:val="23"/>
        </w:rPr>
        <w:t xml:space="preserve">diversity in the workplace </w:t>
      </w:r>
      <w:r w:rsidR="008847F8" w:rsidRPr="00BC22F7">
        <w:rPr>
          <w:rFonts w:ascii="Tahoma" w:hAnsi="Tahoma" w:cs="Tahoma"/>
          <w:sz w:val="23"/>
          <w:szCs w:val="23"/>
        </w:rPr>
        <w:t xml:space="preserve">and the </w:t>
      </w:r>
      <w:r w:rsidR="00D72BDE" w:rsidRPr="00BC22F7">
        <w:rPr>
          <w:rFonts w:ascii="Tahoma" w:hAnsi="Tahoma" w:cs="Tahoma"/>
          <w:sz w:val="23"/>
          <w:szCs w:val="23"/>
        </w:rPr>
        <w:t>aim</w:t>
      </w:r>
      <w:r w:rsidR="008847F8" w:rsidRPr="00BC22F7">
        <w:rPr>
          <w:rFonts w:ascii="Tahoma" w:hAnsi="Tahoma" w:cs="Tahoma"/>
          <w:sz w:val="23"/>
          <w:szCs w:val="23"/>
        </w:rPr>
        <w:t xml:space="preserve"> </w:t>
      </w:r>
      <w:r w:rsidR="00D72BDE" w:rsidRPr="00BC22F7">
        <w:rPr>
          <w:rFonts w:ascii="Tahoma" w:hAnsi="Tahoma" w:cs="Tahoma"/>
          <w:sz w:val="23"/>
          <w:szCs w:val="23"/>
        </w:rPr>
        <w:t xml:space="preserve">to promote greater </w:t>
      </w:r>
      <w:r w:rsidRPr="00BC22F7">
        <w:rPr>
          <w:rFonts w:ascii="Tahoma" w:hAnsi="Tahoma" w:cs="Tahoma"/>
          <w:sz w:val="23"/>
          <w:szCs w:val="23"/>
        </w:rPr>
        <w:t>representative bureaucracy</w:t>
      </w:r>
      <w:r w:rsidR="008847F8" w:rsidRPr="00BC22F7">
        <w:rPr>
          <w:rFonts w:ascii="Tahoma" w:hAnsi="Tahoma" w:cs="Tahoma"/>
          <w:sz w:val="23"/>
          <w:szCs w:val="23"/>
        </w:rPr>
        <w:t xml:space="preserve"> in Canada</w:t>
      </w:r>
      <w:r w:rsidRPr="00BC22F7">
        <w:rPr>
          <w:rFonts w:ascii="Tahoma" w:hAnsi="Tahoma" w:cs="Tahoma"/>
          <w:sz w:val="23"/>
          <w:szCs w:val="23"/>
        </w:rPr>
        <w:t xml:space="preserve">, </w:t>
      </w:r>
      <w:r w:rsidR="00B27EB6" w:rsidRPr="00BC22F7">
        <w:rPr>
          <w:rFonts w:ascii="Tahoma" w:hAnsi="Tahoma" w:cs="Tahoma"/>
          <w:sz w:val="23"/>
          <w:szCs w:val="23"/>
        </w:rPr>
        <w:t xml:space="preserve">this study examined the question of </w:t>
      </w:r>
      <w:r w:rsidR="00B51AA7" w:rsidRPr="00BC22F7">
        <w:rPr>
          <w:rFonts w:ascii="Tahoma" w:hAnsi="Tahoma" w:cs="Tahoma"/>
          <w:sz w:val="23"/>
          <w:szCs w:val="23"/>
        </w:rPr>
        <w:t xml:space="preserve">whether </w:t>
      </w:r>
      <w:r w:rsidR="00B51AA7" w:rsidRPr="00BC22F7">
        <w:rPr>
          <w:rFonts w:ascii="Tahoma" w:hAnsi="Tahoma" w:cs="Tahoma"/>
          <w:sz w:val="23"/>
          <w:szCs w:val="23"/>
        </w:rPr>
        <w:lastRenderedPageBreak/>
        <w:t xml:space="preserve">minority group members </w:t>
      </w:r>
      <w:r w:rsidR="00DA56A2" w:rsidRPr="00BC22F7">
        <w:rPr>
          <w:rFonts w:ascii="Tahoma" w:hAnsi="Tahoma" w:cs="Tahoma"/>
          <w:sz w:val="23"/>
          <w:szCs w:val="23"/>
        </w:rPr>
        <w:t>report an interest in jobs in the public sector</w:t>
      </w:r>
      <w:r w:rsidR="00DA41CD" w:rsidRPr="00BC22F7">
        <w:rPr>
          <w:rFonts w:ascii="Tahoma" w:hAnsi="Tahoma" w:cs="Tahoma"/>
          <w:sz w:val="23"/>
          <w:szCs w:val="23"/>
        </w:rPr>
        <w:t xml:space="preserve">. </w:t>
      </w:r>
      <w:r w:rsidR="00DA56A2" w:rsidRPr="00BC22F7">
        <w:rPr>
          <w:rFonts w:ascii="Tahoma" w:hAnsi="Tahoma" w:cs="Tahoma"/>
          <w:sz w:val="23"/>
          <w:szCs w:val="23"/>
        </w:rPr>
        <w:t xml:space="preserve">Overall, our findings indicate that </w:t>
      </w:r>
      <w:r w:rsidR="00DA41CD" w:rsidRPr="00BC22F7">
        <w:rPr>
          <w:rFonts w:ascii="Tahoma" w:hAnsi="Tahoma" w:cs="Tahoma"/>
          <w:sz w:val="23"/>
          <w:szCs w:val="23"/>
        </w:rPr>
        <w:t xml:space="preserve">38 percent of the respondents were interested in </w:t>
      </w:r>
      <w:r w:rsidR="00DA56A2" w:rsidRPr="00BC22F7">
        <w:rPr>
          <w:rFonts w:ascii="Tahoma" w:hAnsi="Tahoma" w:cs="Tahoma"/>
          <w:sz w:val="23"/>
          <w:szCs w:val="23"/>
        </w:rPr>
        <w:t xml:space="preserve">employment in the </w:t>
      </w:r>
      <w:r w:rsidR="00DA41CD" w:rsidRPr="00BC22F7">
        <w:rPr>
          <w:rFonts w:ascii="Tahoma" w:hAnsi="Tahoma" w:cs="Tahoma"/>
          <w:sz w:val="23"/>
          <w:szCs w:val="23"/>
        </w:rPr>
        <w:t>public se</w:t>
      </w:r>
      <w:r w:rsidR="00A810B2" w:rsidRPr="00BC22F7">
        <w:rPr>
          <w:rFonts w:ascii="Tahoma" w:hAnsi="Tahoma" w:cs="Tahoma"/>
          <w:sz w:val="23"/>
          <w:szCs w:val="23"/>
        </w:rPr>
        <w:t>ctor</w:t>
      </w:r>
      <w:r w:rsidR="00DA41CD" w:rsidRPr="00BC22F7">
        <w:rPr>
          <w:rFonts w:ascii="Tahoma" w:hAnsi="Tahoma" w:cs="Tahoma"/>
          <w:sz w:val="23"/>
          <w:szCs w:val="23"/>
        </w:rPr>
        <w:t xml:space="preserve">. </w:t>
      </w:r>
      <w:r w:rsidR="00DA56A2" w:rsidRPr="00BC22F7">
        <w:rPr>
          <w:rFonts w:ascii="Tahoma" w:hAnsi="Tahoma" w:cs="Tahoma"/>
          <w:sz w:val="23"/>
          <w:szCs w:val="23"/>
        </w:rPr>
        <w:t xml:space="preserve">Interestingly, </w:t>
      </w:r>
      <w:r w:rsidR="00225BAE" w:rsidRPr="00BC22F7">
        <w:rPr>
          <w:rFonts w:ascii="Tahoma" w:hAnsi="Tahoma" w:cs="Tahoma"/>
          <w:sz w:val="23"/>
          <w:szCs w:val="23"/>
        </w:rPr>
        <w:t>A</w:t>
      </w:r>
      <w:r w:rsidR="00FE0A75" w:rsidRPr="00BC22F7">
        <w:rPr>
          <w:rFonts w:ascii="Tahoma" w:hAnsi="Tahoma" w:cs="Tahoma"/>
          <w:sz w:val="23"/>
          <w:szCs w:val="23"/>
        </w:rPr>
        <w:t>boriginal peoples, persons with disabilities, women</w:t>
      </w:r>
      <w:r w:rsidR="00F775CC" w:rsidRPr="00BC22F7">
        <w:rPr>
          <w:rFonts w:ascii="Tahoma" w:hAnsi="Tahoma" w:cs="Tahoma"/>
          <w:sz w:val="23"/>
          <w:szCs w:val="23"/>
        </w:rPr>
        <w:t>,</w:t>
      </w:r>
      <w:r w:rsidR="00FE0A75" w:rsidRPr="00BC22F7">
        <w:rPr>
          <w:rFonts w:ascii="Tahoma" w:hAnsi="Tahoma" w:cs="Tahoma"/>
          <w:sz w:val="23"/>
          <w:szCs w:val="23"/>
        </w:rPr>
        <w:t xml:space="preserve"> and LGBT people were </w:t>
      </w:r>
      <w:r w:rsidR="00DA56A2" w:rsidRPr="00BC22F7">
        <w:rPr>
          <w:rFonts w:ascii="Tahoma" w:hAnsi="Tahoma" w:cs="Tahoma"/>
          <w:sz w:val="23"/>
          <w:szCs w:val="23"/>
        </w:rPr>
        <w:t xml:space="preserve">each </w:t>
      </w:r>
      <w:r w:rsidR="00FE0A75" w:rsidRPr="00BC22F7">
        <w:rPr>
          <w:rFonts w:ascii="Tahoma" w:hAnsi="Tahoma" w:cs="Tahoma"/>
          <w:sz w:val="23"/>
          <w:szCs w:val="23"/>
        </w:rPr>
        <w:t xml:space="preserve">more likely to indicate a preference for </w:t>
      </w:r>
      <w:r w:rsidR="00DA56A2" w:rsidRPr="00BC22F7">
        <w:rPr>
          <w:rFonts w:ascii="Tahoma" w:hAnsi="Tahoma" w:cs="Tahoma"/>
          <w:sz w:val="23"/>
          <w:szCs w:val="23"/>
        </w:rPr>
        <w:t xml:space="preserve">work in the </w:t>
      </w:r>
      <w:r w:rsidR="00FE0A75" w:rsidRPr="00BC22F7">
        <w:rPr>
          <w:rFonts w:ascii="Tahoma" w:hAnsi="Tahoma" w:cs="Tahoma"/>
          <w:sz w:val="23"/>
          <w:szCs w:val="23"/>
        </w:rPr>
        <w:t>public se</w:t>
      </w:r>
      <w:r w:rsidR="00A810B2" w:rsidRPr="00BC22F7">
        <w:rPr>
          <w:rFonts w:ascii="Tahoma" w:hAnsi="Tahoma" w:cs="Tahoma"/>
          <w:sz w:val="23"/>
          <w:szCs w:val="23"/>
        </w:rPr>
        <w:t>ctor</w:t>
      </w:r>
      <w:r w:rsidR="00FE0A75" w:rsidRPr="00BC22F7">
        <w:rPr>
          <w:rFonts w:ascii="Tahoma" w:hAnsi="Tahoma" w:cs="Tahoma"/>
          <w:sz w:val="23"/>
          <w:szCs w:val="23"/>
        </w:rPr>
        <w:t xml:space="preserve"> </w:t>
      </w:r>
      <w:r w:rsidR="00DA41CD" w:rsidRPr="00BC22F7">
        <w:rPr>
          <w:rFonts w:ascii="Tahoma" w:hAnsi="Tahoma" w:cs="Tahoma"/>
          <w:sz w:val="23"/>
          <w:szCs w:val="23"/>
        </w:rPr>
        <w:t xml:space="preserve">than their majority group </w:t>
      </w:r>
      <w:r w:rsidR="009223F6" w:rsidRPr="00BC22F7">
        <w:rPr>
          <w:rFonts w:ascii="Tahoma" w:hAnsi="Tahoma" w:cs="Tahoma"/>
          <w:sz w:val="23"/>
          <w:szCs w:val="23"/>
        </w:rPr>
        <w:t>counterparts (i.e., non-</w:t>
      </w:r>
      <w:r w:rsidR="00DA41CD" w:rsidRPr="00BC22F7">
        <w:rPr>
          <w:rFonts w:ascii="Tahoma" w:hAnsi="Tahoma" w:cs="Tahoma"/>
          <w:sz w:val="23"/>
          <w:szCs w:val="23"/>
        </w:rPr>
        <w:t>Aboriginal, non-disabled, men, and heterosexuals)</w:t>
      </w:r>
      <w:r w:rsidR="00DA56A2" w:rsidRPr="00BC22F7">
        <w:rPr>
          <w:rFonts w:ascii="Tahoma" w:hAnsi="Tahoma" w:cs="Tahoma"/>
          <w:sz w:val="23"/>
          <w:szCs w:val="23"/>
        </w:rPr>
        <w:t xml:space="preserve"> while </w:t>
      </w:r>
      <w:r w:rsidR="00DA41CD" w:rsidRPr="00BC22F7">
        <w:rPr>
          <w:rFonts w:ascii="Tahoma" w:hAnsi="Tahoma" w:cs="Tahoma"/>
          <w:sz w:val="23"/>
          <w:szCs w:val="23"/>
        </w:rPr>
        <w:t>visible minorities</w:t>
      </w:r>
      <w:r w:rsidR="0073714E" w:rsidRPr="00BC22F7">
        <w:rPr>
          <w:rFonts w:ascii="Tahoma" w:hAnsi="Tahoma" w:cs="Tahoma"/>
          <w:sz w:val="23"/>
          <w:szCs w:val="23"/>
        </w:rPr>
        <w:t xml:space="preserve"> </w:t>
      </w:r>
      <w:r w:rsidR="00DA41CD" w:rsidRPr="00BC22F7">
        <w:rPr>
          <w:rFonts w:ascii="Tahoma" w:hAnsi="Tahoma" w:cs="Tahoma"/>
          <w:sz w:val="23"/>
          <w:szCs w:val="23"/>
        </w:rPr>
        <w:t xml:space="preserve">were more </w:t>
      </w:r>
      <w:r w:rsidR="0014768B" w:rsidRPr="00BC22F7">
        <w:rPr>
          <w:rFonts w:ascii="Tahoma" w:hAnsi="Tahoma" w:cs="Tahoma"/>
          <w:sz w:val="23"/>
          <w:szCs w:val="23"/>
        </w:rPr>
        <w:t xml:space="preserve">interested in </w:t>
      </w:r>
      <w:r w:rsidR="00DA41CD" w:rsidRPr="00BC22F7">
        <w:rPr>
          <w:rFonts w:ascii="Tahoma" w:hAnsi="Tahoma" w:cs="Tahoma"/>
          <w:sz w:val="23"/>
          <w:szCs w:val="23"/>
        </w:rPr>
        <w:t xml:space="preserve">a </w:t>
      </w:r>
      <w:r w:rsidR="0014768B" w:rsidRPr="00BC22F7">
        <w:rPr>
          <w:rFonts w:ascii="Tahoma" w:hAnsi="Tahoma" w:cs="Tahoma"/>
          <w:sz w:val="23"/>
          <w:szCs w:val="23"/>
        </w:rPr>
        <w:t xml:space="preserve">private sector </w:t>
      </w:r>
      <w:r w:rsidR="00DA41CD" w:rsidRPr="00BC22F7">
        <w:rPr>
          <w:rFonts w:ascii="Tahoma" w:hAnsi="Tahoma" w:cs="Tahoma"/>
          <w:sz w:val="23"/>
          <w:szCs w:val="23"/>
        </w:rPr>
        <w:t>career</w:t>
      </w:r>
      <w:r w:rsidR="007640B9" w:rsidRPr="00BC22F7">
        <w:rPr>
          <w:rFonts w:ascii="Tahoma" w:hAnsi="Tahoma" w:cs="Tahoma"/>
          <w:sz w:val="23"/>
          <w:szCs w:val="23"/>
        </w:rPr>
        <w:t xml:space="preserve"> than non-visible minorities</w:t>
      </w:r>
      <w:r w:rsidR="0014768B" w:rsidRPr="00BC22F7">
        <w:rPr>
          <w:rFonts w:ascii="Tahoma" w:hAnsi="Tahoma" w:cs="Tahoma"/>
          <w:sz w:val="23"/>
          <w:szCs w:val="23"/>
        </w:rPr>
        <w:t xml:space="preserve">. </w:t>
      </w:r>
      <w:r w:rsidR="0073714E" w:rsidRPr="00BC22F7">
        <w:rPr>
          <w:rFonts w:ascii="Tahoma" w:hAnsi="Tahoma" w:cs="Tahoma"/>
          <w:sz w:val="23"/>
          <w:szCs w:val="23"/>
        </w:rPr>
        <w:t xml:space="preserve">This is </w:t>
      </w:r>
      <w:proofErr w:type="gramStart"/>
      <w:r w:rsidR="0073714E" w:rsidRPr="00BC22F7">
        <w:rPr>
          <w:rFonts w:ascii="Tahoma" w:hAnsi="Tahoma" w:cs="Tahoma"/>
          <w:sz w:val="23"/>
          <w:szCs w:val="23"/>
        </w:rPr>
        <w:t>cause</w:t>
      </w:r>
      <w:proofErr w:type="gramEnd"/>
      <w:r w:rsidR="0073714E" w:rsidRPr="00BC22F7">
        <w:rPr>
          <w:rFonts w:ascii="Tahoma" w:hAnsi="Tahoma" w:cs="Tahoma"/>
          <w:sz w:val="23"/>
          <w:szCs w:val="23"/>
        </w:rPr>
        <w:t xml:space="preserve"> for </w:t>
      </w:r>
      <w:r w:rsidR="00A810B2" w:rsidRPr="00BC22F7">
        <w:rPr>
          <w:rFonts w:ascii="Tahoma" w:hAnsi="Tahoma" w:cs="Tahoma"/>
          <w:sz w:val="23"/>
          <w:szCs w:val="23"/>
        </w:rPr>
        <w:t xml:space="preserve">some </w:t>
      </w:r>
      <w:r w:rsidR="0073714E" w:rsidRPr="00BC22F7">
        <w:rPr>
          <w:rFonts w:ascii="Tahoma" w:hAnsi="Tahoma" w:cs="Tahoma"/>
          <w:sz w:val="23"/>
          <w:szCs w:val="23"/>
        </w:rPr>
        <w:t xml:space="preserve">concern since </w:t>
      </w:r>
      <w:r w:rsidR="002A29B6" w:rsidRPr="00BC22F7">
        <w:rPr>
          <w:rFonts w:ascii="Tahoma" w:hAnsi="Tahoma" w:cs="Tahoma"/>
          <w:sz w:val="23"/>
          <w:szCs w:val="23"/>
        </w:rPr>
        <w:t>th</w:t>
      </w:r>
      <w:r w:rsidR="007640B9" w:rsidRPr="00BC22F7">
        <w:rPr>
          <w:rFonts w:ascii="Tahoma" w:hAnsi="Tahoma" w:cs="Tahoma"/>
          <w:sz w:val="23"/>
          <w:szCs w:val="23"/>
        </w:rPr>
        <w:t>e visible minority</w:t>
      </w:r>
      <w:r w:rsidR="002A29B6" w:rsidRPr="00BC22F7">
        <w:rPr>
          <w:rFonts w:ascii="Tahoma" w:hAnsi="Tahoma" w:cs="Tahoma"/>
          <w:sz w:val="23"/>
          <w:szCs w:val="23"/>
        </w:rPr>
        <w:t xml:space="preserve"> group is </w:t>
      </w:r>
      <w:r w:rsidR="0073714E" w:rsidRPr="00BC22F7">
        <w:rPr>
          <w:rFonts w:ascii="Tahoma" w:hAnsi="Tahoma" w:cs="Tahoma"/>
          <w:sz w:val="23"/>
          <w:szCs w:val="23"/>
        </w:rPr>
        <w:t xml:space="preserve">projected to </w:t>
      </w:r>
      <w:r w:rsidR="00DA56A2" w:rsidRPr="00BC22F7">
        <w:rPr>
          <w:rFonts w:ascii="Tahoma" w:hAnsi="Tahoma" w:cs="Tahoma"/>
          <w:sz w:val="23"/>
          <w:szCs w:val="23"/>
        </w:rPr>
        <w:t>comprise approximately</w:t>
      </w:r>
      <w:r w:rsidR="00A810B2" w:rsidRPr="00BC22F7">
        <w:rPr>
          <w:rFonts w:ascii="Tahoma" w:hAnsi="Tahoma" w:cs="Tahoma"/>
          <w:sz w:val="23"/>
          <w:szCs w:val="23"/>
        </w:rPr>
        <w:t xml:space="preserve"> </w:t>
      </w:r>
      <w:r w:rsidR="00DA56A2" w:rsidRPr="00BC22F7">
        <w:rPr>
          <w:rFonts w:ascii="Tahoma" w:hAnsi="Tahoma" w:cs="Tahoma"/>
          <w:sz w:val="23"/>
          <w:szCs w:val="23"/>
        </w:rPr>
        <w:t>one-</w:t>
      </w:r>
      <w:r w:rsidR="0073714E" w:rsidRPr="00BC22F7">
        <w:rPr>
          <w:rFonts w:ascii="Tahoma" w:hAnsi="Tahoma" w:cs="Tahoma"/>
          <w:sz w:val="23"/>
          <w:szCs w:val="23"/>
        </w:rPr>
        <w:t>third of</w:t>
      </w:r>
      <w:r w:rsidR="007640B9" w:rsidRPr="00BC22F7">
        <w:rPr>
          <w:rFonts w:ascii="Tahoma" w:hAnsi="Tahoma" w:cs="Tahoma"/>
          <w:sz w:val="23"/>
          <w:szCs w:val="23"/>
        </w:rPr>
        <w:t xml:space="preserve"> the </w:t>
      </w:r>
      <w:r w:rsidR="0073714E" w:rsidRPr="00BC22F7">
        <w:rPr>
          <w:rFonts w:ascii="Tahoma" w:hAnsi="Tahoma" w:cs="Tahoma"/>
          <w:sz w:val="23"/>
          <w:szCs w:val="23"/>
        </w:rPr>
        <w:t>Canad</w:t>
      </w:r>
      <w:r w:rsidR="007640B9" w:rsidRPr="00BC22F7">
        <w:rPr>
          <w:rFonts w:ascii="Tahoma" w:hAnsi="Tahoma" w:cs="Tahoma"/>
          <w:sz w:val="23"/>
          <w:szCs w:val="23"/>
        </w:rPr>
        <w:t>ian labor force</w:t>
      </w:r>
      <w:r w:rsidR="0073714E" w:rsidRPr="00BC22F7">
        <w:rPr>
          <w:rFonts w:ascii="Tahoma" w:hAnsi="Tahoma" w:cs="Tahoma"/>
          <w:sz w:val="23"/>
          <w:szCs w:val="23"/>
        </w:rPr>
        <w:t xml:space="preserve"> by 2031 </w:t>
      </w:r>
      <w:r w:rsidR="000F47A1" w:rsidRPr="00BC22F7">
        <w:rPr>
          <w:rFonts w:ascii="Tahoma" w:hAnsi="Tahoma" w:cs="Tahoma"/>
          <w:sz w:val="23"/>
          <w:szCs w:val="23"/>
        </w:rPr>
        <w:t>(Statistics Canada, 2011)</w:t>
      </w:r>
      <w:r w:rsidR="002A29B6" w:rsidRPr="00BC22F7">
        <w:rPr>
          <w:rFonts w:ascii="Tahoma" w:hAnsi="Tahoma" w:cs="Tahoma"/>
          <w:sz w:val="23"/>
          <w:szCs w:val="23"/>
        </w:rPr>
        <w:t xml:space="preserve">. </w:t>
      </w:r>
      <w:r w:rsidR="00DA56A2" w:rsidRPr="00BC22F7">
        <w:rPr>
          <w:rFonts w:ascii="Tahoma" w:hAnsi="Tahoma" w:cs="Tahoma"/>
          <w:sz w:val="23"/>
          <w:szCs w:val="23"/>
        </w:rPr>
        <w:t>I</w:t>
      </w:r>
      <w:r w:rsidR="002A29B6" w:rsidRPr="00BC22F7">
        <w:rPr>
          <w:rFonts w:ascii="Tahoma" w:hAnsi="Tahoma" w:cs="Tahoma"/>
          <w:sz w:val="23"/>
          <w:szCs w:val="23"/>
        </w:rPr>
        <w:t>n</w:t>
      </w:r>
      <w:r w:rsidR="009223F6" w:rsidRPr="00BC22F7">
        <w:rPr>
          <w:rFonts w:ascii="Tahoma" w:hAnsi="Tahoma" w:cs="Tahoma"/>
          <w:sz w:val="23"/>
          <w:szCs w:val="23"/>
        </w:rPr>
        <w:t xml:space="preserve"> order to better understand </w:t>
      </w:r>
      <w:r w:rsidR="00A810B2" w:rsidRPr="00BC22F7">
        <w:rPr>
          <w:rFonts w:ascii="Tahoma" w:hAnsi="Tahoma" w:cs="Tahoma"/>
          <w:sz w:val="23"/>
          <w:szCs w:val="23"/>
        </w:rPr>
        <w:t>this overall</w:t>
      </w:r>
      <w:r w:rsidR="00DA56A2" w:rsidRPr="00BC22F7">
        <w:rPr>
          <w:rFonts w:ascii="Tahoma" w:hAnsi="Tahoma" w:cs="Tahoma"/>
          <w:sz w:val="23"/>
          <w:szCs w:val="23"/>
        </w:rPr>
        <w:t xml:space="preserve"> pattern of </w:t>
      </w:r>
      <w:proofErr w:type="spellStart"/>
      <w:r w:rsidR="00DA56A2" w:rsidRPr="00BC22F7">
        <w:rPr>
          <w:rFonts w:ascii="Tahoma" w:hAnsi="Tahoma" w:cs="Tahoma"/>
          <w:sz w:val="23"/>
          <w:szCs w:val="23"/>
        </w:rPr>
        <w:t>sectoral</w:t>
      </w:r>
      <w:proofErr w:type="spellEnd"/>
      <w:r w:rsidR="00DA56A2" w:rsidRPr="00BC22F7">
        <w:rPr>
          <w:rFonts w:ascii="Tahoma" w:hAnsi="Tahoma" w:cs="Tahoma"/>
          <w:sz w:val="23"/>
          <w:szCs w:val="23"/>
        </w:rPr>
        <w:t xml:space="preserve"> preferences</w:t>
      </w:r>
      <w:r w:rsidR="0014768B" w:rsidRPr="00BC22F7">
        <w:rPr>
          <w:rFonts w:ascii="Tahoma" w:hAnsi="Tahoma" w:cs="Tahoma"/>
          <w:sz w:val="23"/>
          <w:szCs w:val="23"/>
        </w:rPr>
        <w:t xml:space="preserve">, </w:t>
      </w:r>
      <w:r w:rsidR="00A810B2" w:rsidRPr="00BC22F7">
        <w:rPr>
          <w:rFonts w:ascii="Tahoma" w:hAnsi="Tahoma" w:cs="Tahoma"/>
          <w:sz w:val="23"/>
          <w:szCs w:val="23"/>
        </w:rPr>
        <w:t xml:space="preserve">we now turn to findings regarding the work values that predict </w:t>
      </w:r>
      <w:proofErr w:type="spellStart"/>
      <w:r w:rsidR="00A810B2" w:rsidRPr="00BC22F7">
        <w:rPr>
          <w:rFonts w:ascii="Tahoma" w:hAnsi="Tahoma" w:cs="Tahoma"/>
          <w:sz w:val="23"/>
          <w:szCs w:val="23"/>
        </w:rPr>
        <w:t>sectoral</w:t>
      </w:r>
      <w:proofErr w:type="spellEnd"/>
      <w:r w:rsidR="00A810B2" w:rsidRPr="00BC22F7">
        <w:rPr>
          <w:rFonts w:ascii="Tahoma" w:hAnsi="Tahoma" w:cs="Tahoma"/>
          <w:sz w:val="23"/>
          <w:szCs w:val="23"/>
        </w:rPr>
        <w:t xml:space="preserve"> choice.</w:t>
      </w:r>
    </w:p>
    <w:p w:rsidR="008847F8" w:rsidRPr="00BC22F7" w:rsidRDefault="008847F8" w:rsidP="00B9229A">
      <w:pPr>
        <w:spacing w:after="0" w:line="240" w:lineRule="auto"/>
        <w:rPr>
          <w:rFonts w:ascii="Tahoma" w:hAnsi="Tahoma" w:cs="Tahoma"/>
          <w:sz w:val="23"/>
          <w:szCs w:val="23"/>
        </w:rPr>
      </w:pPr>
    </w:p>
    <w:p w:rsidR="00DB2FFF" w:rsidRPr="00BC22F7" w:rsidRDefault="00A810B2">
      <w:pPr>
        <w:spacing w:after="0" w:line="240" w:lineRule="auto"/>
        <w:ind w:firstLine="720"/>
        <w:rPr>
          <w:rFonts w:ascii="Tahoma" w:hAnsi="Tahoma" w:cs="Tahoma"/>
          <w:sz w:val="23"/>
          <w:szCs w:val="23"/>
        </w:rPr>
      </w:pPr>
      <w:r w:rsidRPr="00BC22F7">
        <w:rPr>
          <w:rFonts w:ascii="Tahoma" w:hAnsi="Tahoma" w:cs="Tahoma"/>
          <w:sz w:val="23"/>
          <w:szCs w:val="23"/>
        </w:rPr>
        <w:t>I</w:t>
      </w:r>
      <w:r w:rsidR="00EB72C3" w:rsidRPr="00BC22F7">
        <w:rPr>
          <w:rFonts w:ascii="Tahoma" w:hAnsi="Tahoma" w:cs="Tahoma"/>
          <w:sz w:val="23"/>
          <w:szCs w:val="23"/>
        </w:rPr>
        <w:t xml:space="preserve">n line with prior studies examining public sector service career choice and reward preferences (e.g., Houston, 2000; </w:t>
      </w:r>
      <w:proofErr w:type="spellStart"/>
      <w:r w:rsidR="00EB72C3" w:rsidRPr="00BC22F7">
        <w:rPr>
          <w:rFonts w:ascii="Tahoma" w:hAnsi="Tahoma" w:cs="Tahoma"/>
          <w:sz w:val="23"/>
          <w:szCs w:val="23"/>
        </w:rPr>
        <w:t>Jurkiewicz</w:t>
      </w:r>
      <w:proofErr w:type="spellEnd"/>
      <w:r w:rsidR="00EB72C3" w:rsidRPr="00BC22F7">
        <w:rPr>
          <w:rFonts w:ascii="Tahoma" w:hAnsi="Tahoma" w:cs="Tahoma"/>
          <w:sz w:val="23"/>
          <w:szCs w:val="23"/>
        </w:rPr>
        <w:t xml:space="preserve"> et al., </w:t>
      </w:r>
      <w:r w:rsidR="008D765D" w:rsidRPr="00BC22F7">
        <w:rPr>
          <w:rFonts w:ascii="Tahoma" w:hAnsi="Tahoma" w:cs="Tahoma"/>
          <w:sz w:val="23"/>
          <w:szCs w:val="23"/>
        </w:rPr>
        <w:t>1998</w:t>
      </w:r>
      <w:r w:rsidR="00EB72C3" w:rsidRPr="00BC22F7">
        <w:rPr>
          <w:rFonts w:ascii="Tahoma" w:hAnsi="Tahoma" w:cs="Tahoma"/>
          <w:sz w:val="23"/>
          <w:szCs w:val="23"/>
        </w:rPr>
        <w:t xml:space="preserve">; </w:t>
      </w:r>
      <w:proofErr w:type="spellStart"/>
      <w:r w:rsidR="000F47A1" w:rsidRPr="00BC22F7">
        <w:rPr>
          <w:rFonts w:ascii="Tahoma" w:hAnsi="Tahoma" w:cs="Tahoma"/>
          <w:sz w:val="23"/>
          <w:szCs w:val="23"/>
        </w:rPr>
        <w:t>Wittmer</w:t>
      </w:r>
      <w:proofErr w:type="spellEnd"/>
      <w:r w:rsidR="000F47A1" w:rsidRPr="00BC22F7">
        <w:rPr>
          <w:rFonts w:ascii="Tahoma" w:hAnsi="Tahoma" w:cs="Tahoma"/>
          <w:sz w:val="23"/>
          <w:szCs w:val="23"/>
        </w:rPr>
        <w:t>, 1991),</w:t>
      </w:r>
      <w:r w:rsidRPr="00BC22F7">
        <w:rPr>
          <w:rFonts w:ascii="Tahoma" w:hAnsi="Tahoma" w:cs="Tahoma"/>
          <w:sz w:val="23"/>
          <w:szCs w:val="23"/>
        </w:rPr>
        <w:t xml:space="preserve"> </w:t>
      </w:r>
      <w:r w:rsidR="00EB72C3" w:rsidRPr="00BC22F7">
        <w:rPr>
          <w:rFonts w:ascii="Tahoma" w:hAnsi="Tahoma" w:cs="Tahoma"/>
          <w:sz w:val="23"/>
          <w:szCs w:val="23"/>
        </w:rPr>
        <w:t>w</w:t>
      </w:r>
      <w:r w:rsidR="0031774A" w:rsidRPr="00BC22F7">
        <w:rPr>
          <w:rFonts w:ascii="Tahoma" w:hAnsi="Tahoma" w:cs="Tahoma"/>
          <w:sz w:val="23"/>
          <w:szCs w:val="23"/>
        </w:rPr>
        <w:t xml:space="preserve">e found that respondents who value job security and health and benefits were more </w:t>
      </w:r>
      <w:r w:rsidR="00D72BDE" w:rsidRPr="00BC22F7">
        <w:rPr>
          <w:rFonts w:ascii="Tahoma" w:hAnsi="Tahoma" w:cs="Tahoma"/>
          <w:sz w:val="23"/>
          <w:szCs w:val="23"/>
        </w:rPr>
        <w:t xml:space="preserve">interested in a career in the </w:t>
      </w:r>
      <w:r w:rsidR="0031774A" w:rsidRPr="00BC22F7">
        <w:rPr>
          <w:rFonts w:ascii="Tahoma" w:hAnsi="Tahoma" w:cs="Tahoma"/>
          <w:sz w:val="23"/>
          <w:szCs w:val="23"/>
        </w:rPr>
        <w:t>public</w:t>
      </w:r>
      <w:r w:rsidR="00D72BDE" w:rsidRPr="00BC22F7">
        <w:rPr>
          <w:rFonts w:ascii="Tahoma" w:hAnsi="Tahoma" w:cs="Tahoma"/>
          <w:sz w:val="23"/>
          <w:szCs w:val="23"/>
        </w:rPr>
        <w:t xml:space="preserve"> sector</w:t>
      </w:r>
      <w:r w:rsidR="00EB72C3" w:rsidRPr="00BC22F7">
        <w:rPr>
          <w:rFonts w:ascii="Tahoma" w:hAnsi="Tahoma" w:cs="Tahoma"/>
          <w:sz w:val="23"/>
          <w:szCs w:val="23"/>
        </w:rPr>
        <w:t>. This finding may reflect</w:t>
      </w:r>
      <w:r w:rsidR="004F0DD9" w:rsidRPr="00BC22F7">
        <w:rPr>
          <w:rFonts w:ascii="Tahoma" w:hAnsi="Tahoma" w:cs="Tahoma"/>
          <w:sz w:val="23"/>
          <w:szCs w:val="23"/>
        </w:rPr>
        <w:t xml:space="preserve"> an implicit belief that the public </w:t>
      </w:r>
      <w:r w:rsidR="0068516B" w:rsidRPr="00BC22F7">
        <w:rPr>
          <w:rFonts w:ascii="Tahoma" w:hAnsi="Tahoma" w:cs="Tahoma"/>
          <w:sz w:val="23"/>
          <w:szCs w:val="23"/>
        </w:rPr>
        <w:t>sector</w:t>
      </w:r>
      <w:r w:rsidR="004F0DD9" w:rsidRPr="00BC22F7">
        <w:rPr>
          <w:rFonts w:ascii="Tahoma" w:hAnsi="Tahoma" w:cs="Tahoma"/>
          <w:sz w:val="23"/>
          <w:szCs w:val="23"/>
        </w:rPr>
        <w:t xml:space="preserve"> </w:t>
      </w:r>
      <w:r w:rsidRPr="00BC22F7">
        <w:rPr>
          <w:rFonts w:ascii="Tahoma" w:hAnsi="Tahoma" w:cs="Tahoma"/>
          <w:sz w:val="23"/>
          <w:szCs w:val="23"/>
        </w:rPr>
        <w:t xml:space="preserve">may generally </w:t>
      </w:r>
      <w:r w:rsidR="004F0DD9" w:rsidRPr="00BC22F7">
        <w:rPr>
          <w:rFonts w:ascii="Tahoma" w:hAnsi="Tahoma" w:cs="Tahoma"/>
          <w:sz w:val="23"/>
          <w:szCs w:val="23"/>
        </w:rPr>
        <w:t xml:space="preserve">pay </w:t>
      </w:r>
      <w:r w:rsidR="00647A1B" w:rsidRPr="00BC22F7">
        <w:rPr>
          <w:rFonts w:ascii="Tahoma" w:hAnsi="Tahoma" w:cs="Tahoma"/>
          <w:sz w:val="23"/>
          <w:szCs w:val="23"/>
        </w:rPr>
        <w:t xml:space="preserve">less than </w:t>
      </w:r>
      <w:r w:rsidRPr="00BC22F7">
        <w:rPr>
          <w:rFonts w:ascii="Tahoma" w:hAnsi="Tahoma" w:cs="Tahoma"/>
          <w:sz w:val="23"/>
          <w:szCs w:val="23"/>
        </w:rPr>
        <w:t>the</w:t>
      </w:r>
      <w:r w:rsidR="006C4912" w:rsidRPr="00BC22F7">
        <w:rPr>
          <w:rFonts w:ascii="Tahoma" w:hAnsi="Tahoma" w:cs="Tahoma"/>
          <w:sz w:val="23"/>
          <w:szCs w:val="23"/>
        </w:rPr>
        <w:t xml:space="preserve"> </w:t>
      </w:r>
      <w:r w:rsidR="00647A1B" w:rsidRPr="00BC22F7">
        <w:rPr>
          <w:rFonts w:ascii="Tahoma" w:hAnsi="Tahoma" w:cs="Tahoma"/>
          <w:sz w:val="23"/>
          <w:szCs w:val="23"/>
        </w:rPr>
        <w:t xml:space="preserve">private sector </w:t>
      </w:r>
      <w:r w:rsidR="00EB72C3" w:rsidRPr="00BC22F7">
        <w:rPr>
          <w:rFonts w:ascii="Tahoma" w:hAnsi="Tahoma" w:cs="Tahoma"/>
          <w:sz w:val="23"/>
          <w:szCs w:val="23"/>
        </w:rPr>
        <w:t>b</w:t>
      </w:r>
      <w:r w:rsidR="009F019B" w:rsidRPr="00BC22F7">
        <w:rPr>
          <w:rFonts w:ascii="Tahoma" w:hAnsi="Tahoma" w:cs="Tahoma"/>
          <w:sz w:val="23"/>
          <w:szCs w:val="23"/>
        </w:rPr>
        <w:t>ut</w:t>
      </w:r>
      <w:r w:rsidR="00EB72C3" w:rsidRPr="00BC22F7">
        <w:rPr>
          <w:rFonts w:ascii="Tahoma" w:hAnsi="Tahoma" w:cs="Tahoma"/>
          <w:sz w:val="23"/>
          <w:szCs w:val="23"/>
        </w:rPr>
        <w:t xml:space="preserve"> may </w:t>
      </w:r>
      <w:r w:rsidRPr="00BC22F7">
        <w:rPr>
          <w:rFonts w:ascii="Tahoma" w:hAnsi="Tahoma" w:cs="Tahoma"/>
          <w:sz w:val="23"/>
          <w:szCs w:val="23"/>
        </w:rPr>
        <w:t xml:space="preserve">also </w:t>
      </w:r>
      <w:r w:rsidR="00EB72C3" w:rsidRPr="00BC22F7">
        <w:rPr>
          <w:rFonts w:ascii="Tahoma" w:hAnsi="Tahoma" w:cs="Tahoma"/>
          <w:sz w:val="23"/>
          <w:szCs w:val="23"/>
        </w:rPr>
        <w:t xml:space="preserve">offer stronger job security and benefits </w:t>
      </w:r>
      <w:r w:rsidR="000F47A1" w:rsidRPr="00BC22F7">
        <w:rPr>
          <w:rFonts w:ascii="Tahoma" w:hAnsi="Tahoma" w:cs="Tahoma"/>
          <w:sz w:val="23"/>
          <w:szCs w:val="23"/>
        </w:rPr>
        <w:t>(cf. Lyons, et al., 2006)</w:t>
      </w:r>
      <w:r w:rsidR="00EB72C3" w:rsidRPr="00BC22F7">
        <w:rPr>
          <w:rFonts w:ascii="Tahoma" w:hAnsi="Tahoma" w:cs="Tahoma"/>
          <w:sz w:val="23"/>
          <w:szCs w:val="23"/>
        </w:rPr>
        <w:t xml:space="preserve">. </w:t>
      </w:r>
      <w:r w:rsidRPr="00BC22F7">
        <w:rPr>
          <w:rFonts w:ascii="Tahoma" w:hAnsi="Tahoma" w:cs="Tahoma"/>
          <w:sz w:val="23"/>
          <w:szCs w:val="23"/>
        </w:rPr>
        <w:t>Indeed, recent research show</w:t>
      </w:r>
      <w:r w:rsidR="004E3518" w:rsidRPr="00BC22F7">
        <w:rPr>
          <w:rFonts w:ascii="Tahoma" w:hAnsi="Tahoma" w:cs="Tahoma"/>
          <w:sz w:val="23"/>
          <w:szCs w:val="23"/>
        </w:rPr>
        <w:t>s</w:t>
      </w:r>
      <w:r w:rsidRPr="00BC22F7">
        <w:rPr>
          <w:rFonts w:ascii="Tahoma" w:hAnsi="Tahoma" w:cs="Tahoma"/>
          <w:sz w:val="23"/>
          <w:szCs w:val="23"/>
        </w:rPr>
        <w:t xml:space="preserve"> that p</w:t>
      </w:r>
      <w:r w:rsidR="00771FE6" w:rsidRPr="00BC22F7">
        <w:rPr>
          <w:rFonts w:ascii="Tahoma" w:hAnsi="Tahoma" w:cs="Tahoma"/>
          <w:sz w:val="23"/>
          <w:szCs w:val="23"/>
        </w:rPr>
        <w:t xml:space="preserve">ublic </w:t>
      </w:r>
      <w:r w:rsidR="006C4912" w:rsidRPr="00BC22F7">
        <w:rPr>
          <w:rFonts w:ascii="Tahoma" w:hAnsi="Tahoma" w:cs="Tahoma"/>
          <w:sz w:val="23"/>
          <w:szCs w:val="23"/>
        </w:rPr>
        <w:t xml:space="preserve">sector </w:t>
      </w:r>
      <w:r w:rsidR="00771FE6" w:rsidRPr="00BC22F7">
        <w:rPr>
          <w:rFonts w:ascii="Tahoma" w:hAnsi="Tahoma" w:cs="Tahoma"/>
          <w:sz w:val="23"/>
          <w:szCs w:val="23"/>
        </w:rPr>
        <w:t xml:space="preserve">employees may place a lower emphasis on </w:t>
      </w:r>
      <w:r w:rsidR="00D72BDE" w:rsidRPr="00BC22F7">
        <w:rPr>
          <w:rFonts w:ascii="Tahoma" w:hAnsi="Tahoma" w:cs="Tahoma"/>
          <w:sz w:val="23"/>
          <w:szCs w:val="23"/>
        </w:rPr>
        <w:t>monetary benefits</w:t>
      </w:r>
      <w:r w:rsidRPr="00BC22F7">
        <w:rPr>
          <w:rFonts w:ascii="Tahoma" w:hAnsi="Tahoma" w:cs="Tahoma"/>
          <w:sz w:val="23"/>
          <w:szCs w:val="23"/>
        </w:rPr>
        <w:t xml:space="preserve"> as a source of satisfaction in their job</w:t>
      </w:r>
      <w:r w:rsidR="004F0DD9" w:rsidRPr="00BC22F7">
        <w:rPr>
          <w:rFonts w:ascii="Tahoma" w:hAnsi="Tahoma" w:cs="Tahoma"/>
          <w:sz w:val="23"/>
          <w:szCs w:val="23"/>
        </w:rPr>
        <w:t xml:space="preserve">, and </w:t>
      </w:r>
      <w:r w:rsidRPr="00BC22F7">
        <w:rPr>
          <w:rFonts w:ascii="Tahoma" w:hAnsi="Tahoma" w:cs="Tahoma"/>
          <w:sz w:val="23"/>
          <w:szCs w:val="23"/>
        </w:rPr>
        <w:t xml:space="preserve">instead may </w:t>
      </w:r>
      <w:r w:rsidR="00771FE6" w:rsidRPr="00BC22F7">
        <w:rPr>
          <w:rFonts w:ascii="Tahoma" w:hAnsi="Tahoma" w:cs="Tahoma"/>
          <w:sz w:val="23"/>
          <w:szCs w:val="23"/>
        </w:rPr>
        <w:t>substitute the lower salary with other work preferences such</w:t>
      </w:r>
      <w:r w:rsidR="00647A1B" w:rsidRPr="00BC22F7">
        <w:rPr>
          <w:rFonts w:ascii="Tahoma" w:hAnsi="Tahoma" w:cs="Tahoma"/>
          <w:sz w:val="23"/>
          <w:szCs w:val="23"/>
        </w:rPr>
        <w:t xml:space="preserve"> </w:t>
      </w:r>
      <w:r w:rsidR="00771FE6" w:rsidRPr="00BC22F7">
        <w:rPr>
          <w:rFonts w:ascii="Tahoma" w:hAnsi="Tahoma" w:cs="Tahoma"/>
          <w:sz w:val="23"/>
          <w:szCs w:val="23"/>
        </w:rPr>
        <w:t xml:space="preserve">as job security </w:t>
      </w:r>
      <w:r w:rsidR="004F0DD9" w:rsidRPr="00BC22F7">
        <w:rPr>
          <w:rFonts w:ascii="Tahoma" w:hAnsi="Tahoma" w:cs="Tahoma"/>
          <w:sz w:val="23"/>
          <w:szCs w:val="23"/>
        </w:rPr>
        <w:t xml:space="preserve">and </w:t>
      </w:r>
      <w:r w:rsidR="00771FE6" w:rsidRPr="00BC22F7">
        <w:rPr>
          <w:rFonts w:ascii="Tahoma" w:hAnsi="Tahoma" w:cs="Tahoma"/>
          <w:sz w:val="23"/>
          <w:szCs w:val="23"/>
        </w:rPr>
        <w:t>good working conditions</w:t>
      </w:r>
      <w:r w:rsidR="004F0DD9" w:rsidRPr="00BC22F7">
        <w:rPr>
          <w:rFonts w:ascii="Tahoma" w:hAnsi="Tahoma" w:cs="Tahoma"/>
          <w:sz w:val="23"/>
          <w:szCs w:val="23"/>
        </w:rPr>
        <w:t xml:space="preserve"> </w:t>
      </w:r>
      <w:r w:rsidR="000F47A1" w:rsidRPr="00BC22F7">
        <w:rPr>
          <w:rFonts w:ascii="Tahoma" w:hAnsi="Tahoma" w:cs="Tahoma"/>
          <w:sz w:val="23"/>
          <w:szCs w:val="23"/>
        </w:rPr>
        <w:t>(Ng &amp; Gossett, forthcoming).</w:t>
      </w:r>
      <w:r w:rsidRPr="00BC22F7" w:rsidDel="00A810B2">
        <w:rPr>
          <w:rFonts w:ascii="Tahoma" w:hAnsi="Tahoma" w:cs="Tahoma"/>
          <w:sz w:val="23"/>
          <w:szCs w:val="23"/>
        </w:rPr>
        <w:t xml:space="preserve"> </w:t>
      </w:r>
      <w:r w:rsidR="007640B9" w:rsidRPr="00BC22F7">
        <w:rPr>
          <w:rFonts w:ascii="Tahoma" w:hAnsi="Tahoma" w:cs="Tahoma"/>
          <w:sz w:val="23"/>
          <w:szCs w:val="23"/>
        </w:rPr>
        <w:t>Interestingly, w</w:t>
      </w:r>
      <w:r w:rsidR="0031774A" w:rsidRPr="00BC22F7">
        <w:rPr>
          <w:rFonts w:ascii="Tahoma" w:hAnsi="Tahoma" w:cs="Tahoma"/>
          <w:sz w:val="23"/>
          <w:szCs w:val="23"/>
        </w:rPr>
        <w:t xml:space="preserve">e also found that individuals who </w:t>
      </w:r>
      <w:r w:rsidR="002A29B6" w:rsidRPr="00BC22F7">
        <w:rPr>
          <w:rFonts w:ascii="Tahoma" w:hAnsi="Tahoma" w:cs="Tahoma"/>
          <w:sz w:val="23"/>
          <w:szCs w:val="23"/>
        </w:rPr>
        <w:t xml:space="preserve">value </w:t>
      </w:r>
      <w:r w:rsidR="00AD2CE5" w:rsidRPr="00BC22F7">
        <w:rPr>
          <w:rFonts w:ascii="Tahoma" w:hAnsi="Tahoma" w:cs="Tahoma"/>
          <w:sz w:val="23"/>
          <w:szCs w:val="23"/>
        </w:rPr>
        <w:t xml:space="preserve">a </w:t>
      </w:r>
      <w:r w:rsidR="002A29B6" w:rsidRPr="00BC22F7">
        <w:rPr>
          <w:rFonts w:ascii="Tahoma" w:hAnsi="Tahoma" w:cs="Tahoma"/>
          <w:sz w:val="23"/>
          <w:szCs w:val="23"/>
        </w:rPr>
        <w:t xml:space="preserve">commitment to social responsibility </w:t>
      </w:r>
      <w:r w:rsidR="00EB72C3" w:rsidRPr="00BC22F7">
        <w:rPr>
          <w:rFonts w:ascii="Tahoma" w:hAnsi="Tahoma" w:cs="Tahoma"/>
          <w:sz w:val="23"/>
          <w:szCs w:val="23"/>
        </w:rPr>
        <w:t xml:space="preserve">tend </w:t>
      </w:r>
      <w:r w:rsidR="00AD2CE5" w:rsidRPr="00BC22F7">
        <w:rPr>
          <w:rFonts w:ascii="Tahoma" w:hAnsi="Tahoma" w:cs="Tahoma"/>
          <w:sz w:val="23"/>
          <w:szCs w:val="23"/>
        </w:rPr>
        <w:t xml:space="preserve">to be </w:t>
      </w:r>
      <w:r w:rsidR="00EB72C3" w:rsidRPr="00BC22F7">
        <w:rPr>
          <w:rFonts w:ascii="Tahoma" w:hAnsi="Tahoma" w:cs="Tahoma"/>
          <w:sz w:val="23"/>
          <w:szCs w:val="23"/>
        </w:rPr>
        <w:t xml:space="preserve">more </w:t>
      </w:r>
      <w:r w:rsidR="00AD2CE5" w:rsidRPr="00BC22F7">
        <w:rPr>
          <w:rFonts w:ascii="Tahoma" w:hAnsi="Tahoma" w:cs="Tahoma"/>
          <w:sz w:val="23"/>
          <w:szCs w:val="23"/>
        </w:rPr>
        <w:t xml:space="preserve">attracted to </w:t>
      </w:r>
      <w:r w:rsidR="002A29B6" w:rsidRPr="00BC22F7">
        <w:rPr>
          <w:rFonts w:ascii="Tahoma" w:hAnsi="Tahoma" w:cs="Tahoma"/>
          <w:sz w:val="23"/>
          <w:szCs w:val="23"/>
        </w:rPr>
        <w:t xml:space="preserve">public service. </w:t>
      </w:r>
      <w:r w:rsidR="00AD2CE5" w:rsidRPr="00BC22F7">
        <w:rPr>
          <w:rFonts w:ascii="Tahoma" w:hAnsi="Tahoma" w:cs="Tahoma"/>
          <w:sz w:val="23"/>
          <w:szCs w:val="23"/>
        </w:rPr>
        <w:t xml:space="preserve">In this regard, </w:t>
      </w:r>
      <w:r w:rsidR="007640B9" w:rsidRPr="00BC22F7">
        <w:rPr>
          <w:rFonts w:ascii="Tahoma" w:hAnsi="Tahoma" w:cs="Tahoma"/>
          <w:sz w:val="23"/>
          <w:szCs w:val="23"/>
        </w:rPr>
        <w:t>individuals attracted to</w:t>
      </w:r>
      <w:r w:rsidR="00EB72C3" w:rsidRPr="00BC22F7">
        <w:rPr>
          <w:rFonts w:ascii="Tahoma" w:hAnsi="Tahoma" w:cs="Tahoma"/>
          <w:sz w:val="23"/>
          <w:szCs w:val="23"/>
        </w:rPr>
        <w:t xml:space="preserve"> the</w:t>
      </w:r>
      <w:r w:rsidR="00771FE6" w:rsidRPr="00BC22F7">
        <w:rPr>
          <w:rFonts w:ascii="Tahoma" w:hAnsi="Tahoma" w:cs="Tahoma"/>
          <w:sz w:val="23"/>
          <w:szCs w:val="23"/>
        </w:rPr>
        <w:t xml:space="preserve"> public</w:t>
      </w:r>
      <w:r w:rsidR="006C4912" w:rsidRPr="00BC22F7">
        <w:rPr>
          <w:rFonts w:ascii="Tahoma" w:hAnsi="Tahoma" w:cs="Tahoma"/>
          <w:sz w:val="23"/>
          <w:szCs w:val="23"/>
        </w:rPr>
        <w:t xml:space="preserve"> </w:t>
      </w:r>
      <w:r w:rsidR="00771FE6" w:rsidRPr="00BC22F7">
        <w:rPr>
          <w:rFonts w:ascii="Tahoma" w:hAnsi="Tahoma" w:cs="Tahoma"/>
          <w:sz w:val="23"/>
          <w:szCs w:val="23"/>
        </w:rPr>
        <w:t>se</w:t>
      </w:r>
      <w:r w:rsidRPr="00BC22F7">
        <w:rPr>
          <w:rFonts w:ascii="Tahoma" w:hAnsi="Tahoma" w:cs="Tahoma"/>
          <w:sz w:val="23"/>
          <w:szCs w:val="23"/>
        </w:rPr>
        <w:t>ctor</w:t>
      </w:r>
      <w:r w:rsidR="00771FE6" w:rsidRPr="00BC22F7">
        <w:rPr>
          <w:rFonts w:ascii="Tahoma" w:hAnsi="Tahoma" w:cs="Tahoma"/>
          <w:sz w:val="23"/>
          <w:szCs w:val="23"/>
        </w:rPr>
        <w:t xml:space="preserve"> may view work as being more about serving the </w:t>
      </w:r>
      <w:r w:rsidR="00AD2CE5" w:rsidRPr="00BC22F7">
        <w:rPr>
          <w:rFonts w:ascii="Tahoma" w:hAnsi="Tahoma" w:cs="Tahoma"/>
          <w:sz w:val="23"/>
          <w:szCs w:val="23"/>
        </w:rPr>
        <w:t xml:space="preserve">public </w:t>
      </w:r>
      <w:r w:rsidR="00771FE6" w:rsidRPr="00BC22F7">
        <w:rPr>
          <w:rFonts w:ascii="Tahoma" w:hAnsi="Tahoma" w:cs="Tahoma"/>
          <w:sz w:val="23"/>
          <w:szCs w:val="23"/>
        </w:rPr>
        <w:t>and less about</w:t>
      </w:r>
      <w:r w:rsidR="006C4912" w:rsidRPr="00BC22F7">
        <w:rPr>
          <w:rFonts w:ascii="Tahoma" w:hAnsi="Tahoma" w:cs="Tahoma"/>
          <w:sz w:val="23"/>
          <w:szCs w:val="23"/>
        </w:rPr>
        <w:t xml:space="preserve"> </w:t>
      </w:r>
      <w:r w:rsidR="00771FE6" w:rsidRPr="00BC22F7">
        <w:rPr>
          <w:rFonts w:ascii="Tahoma" w:hAnsi="Tahoma" w:cs="Tahoma"/>
          <w:sz w:val="23"/>
          <w:szCs w:val="23"/>
        </w:rPr>
        <w:t>g</w:t>
      </w:r>
      <w:r w:rsidR="00EB72C3" w:rsidRPr="00BC22F7">
        <w:rPr>
          <w:rFonts w:ascii="Tahoma" w:hAnsi="Tahoma" w:cs="Tahoma"/>
          <w:sz w:val="23"/>
          <w:szCs w:val="23"/>
        </w:rPr>
        <w:t>aining</w:t>
      </w:r>
      <w:r w:rsidR="00771FE6" w:rsidRPr="00BC22F7">
        <w:rPr>
          <w:rFonts w:ascii="Tahoma" w:hAnsi="Tahoma" w:cs="Tahoma"/>
          <w:sz w:val="23"/>
          <w:szCs w:val="23"/>
        </w:rPr>
        <w:t xml:space="preserve"> a</w:t>
      </w:r>
      <w:r w:rsidR="00EB72C3" w:rsidRPr="00BC22F7">
        <w:rPr>
          <w:rFonts w:ascii="Tahoma" w:hAnsi="Tahoma" w:cs="Tahoma"/>
          <w:sz w:val="23"/>
          <w:szCs w:val="23"/>
        </w:rPr>
        <w:t xml:space="preserve"> high</w:t>
      </w:r>
      <w:r w:rsidR="00771FE6" w:rsidRPr="00BC22F7">
        <w:rPr>
          <w:rFonts w:ascii="Tahoma" w:hAnsi="Tahoma" w:cs="Tahoma"/>
          <w:sz w:val="23"/>
          <w:szCs w:val="23"/>
        </w:rPr>
        <w:t xml:space="preserve"> income and</w:t>
      </w:r>
      <w:r w:rsidR="00D72BDE" w:rsidRPr="00BC22F7">
        <w:rPr>
          <w:rFonts w:ascii="Tahoma" w:hAnsi="Tahoma" w:cs="Tahoma"/>
          <w:sz w:val="23"/>
          <w:szCs w:val="23"/>
        </w:rPr>
        <w:t>/or</w:t>
      </w:r>
      <w:r w:rsidR="00771FE6" w:rsidRPr="00BC22F7">
        <w:rPr>
          <w:rFonts w:ascii="Tahoma" w:hAnsi="Tahoma" w:cs="Tahoma"/>
          <w:sz w:val="23"/>
          <w:szCs w:val="23"/>
        </w:rPr>
        <w:t xml:space="preserve"> prestige</w:t>
      </w:r>
      <w:r w:rsidR="007640B9" w:rsidRPr="00BC22F7">
        <w:rPr>
          <w:rFonts w:ascii="Tahoma" w:hAnsi="Tahoma" w:cs="Tahoma"/>
          <w:sz w:val="23"/>
          <w:szCs w:val="23"/>
        </w:rPr>
        <w:t xml:space="preserve">, a result echoed in studies reporting that public sector employees tend to highly value intrinsic rewards (e.g., making a contribution to society) relative to extrinsic rewards (e.g., Houston, 2000; </w:t>
      </w:r>
      <w:r w:rsidR="000F47A1" w:rsidRPr="00BC22F7">
        <w:rPr>
          <w:rFonts w:ascii="Tahoma" w:hAnsi="Tahoma" w:cs="Tahoma"/>
          <w:sz w:val="23"/>
          <w:szCs w:val="23"/>
        </w:rPr>
        <w:t>Lyons et al., 2006).</w:t>
      </w:r>
      <w:r w:rsidR="007640B9" w:rsidRPr="00BC22F7">
        <w:rPr>
          <w:rFonts w:ascii="Tahoma" w:hAnsi="Tahoma" w:cs="Tahoma"/>
          <w:sz w:val="23"/>
          <w:szCs w:val="23"/>
        </w:rPr>
        <w:t xml:space="preserve"> Conversely, our results indicate that </w:t>
      </w:r>
      <w:r w:rsidR="008847F8" w:rsidRPr="00BC22F7">
        <w:rPr>
          <w:rFonts w:ascii="Tahoma" w:hAnsi="Tahoma" w:cs="Tahoma"/>
          <w:sz w:val="23"/>
          <w:szCs w:val="23"/>
        </w:rPr>
        <w:t xml:space="preserve">individuals who desire to work </w:t>
      </w:r>
      <w:r w:rsidR="004B38D2" w:rsidRPr="00BC22F7">
        <w:rPr>
          <w:rFonts w:ascii="Tahoma" w:hAnsi="Tahoma" w:cs="Tahoma"/>
          <w:sz w:val="23"/>
          <w:szCs w:val="23"/>
        </w:rPr>
        <w:t xml:space="preserve">in the private sector highly value factors such as working </w:t>
      </w:r>
      <w:r w:rsidR="008847F8" w:rsidRPr="00BC22F7">
        <w:rPr>
          <w:rFonts w:ascii="Tahoma" w:hAnsi="Tahoma" w:cs="Tahoma"/>
          <w:sz w:val="23"/>
          <w:szCs w:val="23"/>
        </w:rPr>
        <w:t xml:space="preserve">for an industry leader </w:t>
      </w:r>
      <w:r w:rsidR="004E3518" w:rsidRPr="00BC22F7">
        <w:rPr>
          <w:rFonts w:ascii="Tahoma" w:hAnsi="Tahoma" w:cs="Tahoma"/>
          <w:sz w:val="23"/>
          <w:szCs w:val="23"/>
        </w:rPr>
        <w:t xml:space="preserve">and </w:t>
      </w:r>
      <w:r w:rsidR="008847F8" w:rsidRPr="00BC22F7">
        <w:rPr>
          <w:rFonts w:ascii="Tahoma" w:hAnsi="Tahoma" w:cs="Tahoma"/>
          <w:sz w:val="23"/>
          <w:szCs w:val="23"/>
        </w:rPr>
        <w:t>opportunities for advancement</w:t>
      </w:r>
      <w:r w:rsidR="004B38D2" w:rsidRPr="00BC22F7">
        <w:rPr>
          <w:rFonts w:ascii="Tahoma" w:hAnsi="Tahoma" w:cs="Tahoma"/>
          <w:sz w:val="23"/>
          <w:szCs w:val="23"/>
        </w:rPr>
        <w:t xml:space="preserve">. These findings appear to be consistent with a perception that certain private sector employers may have more specialized, industry-specific expertise and perhaps the financial resources and flexibility needed to offer stronger career advancement opportunities. </w:t>
      </w:r>
    </w:p>
    <w:p w:rsidR="00C22313" w:rsidRPr="00BC22F7" w:rsidRDefault="00C22313" w:rsidP="00B9229A">
      <w:pPr>
        <w:spacing w:after="0" w:line="240" w:lineRule="auto"/>
        <w:rPr>
          <w:rFonts w:ascii="Tahoma" w:hAnsi="Tahoma" w:cs="Tahoma"/>
          <w:sz w:val="23"/>
          <w:szCs w:val="23"/>
        </w:rPr>
      </w:pPr>
    </w:p>
    <w:p w:rsidR="00DB2FFF" w:rsidRPr="00BC22F7" w:rsidRDefault="00A810B2">
      <w:pPr>
        <w:spacing w:after="0" w:line="240" w:lineRule="auto"/>
        <w:ind w:firstLine="720"/>
        <w:rPr>
          <w:rFonts w:ascii="Tahoma" w:hAnsi="Tahoma" w:cs="Tahoma"/>
          <w:sz w:val="23"/>
          <w:szCs w:val="23"/>
        </w:rPr>
      </w:pPr>
      <w:r w:rsidRPr="00BC22F7">
        <w:rPr>
          <w:rFonts w:ascii="Tahoma" w:hAnsi="Tahoma" w:cs="Tahoma"/>
          <w:sz w:val="23"/>
          <w:szCs w:val="23"/>
        </w:rPr>
        <w:t>Our third research question asked</w:t>
      </w:r>
      <w:r w:rsidR="007640B9" w:rsidRPr="00BC22F7">
        <w:rPr>
          <w:rFonts w:ascii="Tahoma" w:hAnsi="Tahoma" w:cs="Tahoma"/>
          <w:sz w:val="23"/>
          <w:szCs w:val="23"/>
        </w:rPr>
        <w:t xml:space="preserve"> to </w:t>
      </w:r>
      <w:r w:rsidR="00C22313" w:rsidRPr="00BC22F7">
        <w:rPr>
          <w:rFonts w:ascii="Tahoma" w:hAnsi="Tahoma" w:cs="Tahoma"/>
          <w:sz w:val="23"/>
          <w:szCs w:val="23"/>
        </w:rPr>
        <w:t xml:space="preserve">what extent minority group members share the </w:t>
      </w:r>
      <w:r w:rsidR="009F019B" w:rsidRPr="00BC22F7">
        <w:rPr>
          <w:rFonts w:ascii="Tahoma" w:hAnsi="Tahoma" w:cs="Tahoma"/>
          <w:sz w:val="23"/>
          <w:szCs w:val="23"/>
        </w:rPr>
        <w:t xml:space="preserve">work </w:t>
      </w:r>
      <w:r w:rsidR="00C22313" w:rsidRPr="00BC22F7">
        <w:rPr>
          <w:rFonts w:ascii="Tahoma" w:hAnsi="Tahoma" w:cs="Tahoma"/>
          <w:sz w:val="23"/>
          <w:szCs w:val="23"/>
        </w:rPr>
        <w:t xml:space="preserve">values that </w:t>
      </w:r>
      <w:r w:rsidR="009F019B" w:rsidRPr="00BC22F7">
        <w:rPr>
          <w:rFonts w:ascii="Tahoma" w:hAnsi="Tahoma" w:cs="Tahoma"/>
          <w:sz w:val="23"/>
          <w:szCs w:val="23"/>
        </w:rPr>
        <w:t xml:space="preserve">best predict </w:t>
      </w:r>
      <w:r w:rsidR="00C22313" w:rsidRPr="00BC22F7">
        <w:rPr>
          <w:rFonts w:ascii="Tahoma" w:hAnsi="Tahoma" w:cs="Tahoma"/>
          <w:sz w:val="23"/>
          <w:szCs w:val="23"/>
        </w:rPr>
        <w:t>a career in public service</w:t>
      </w:r>
      <w:r w:rsidR="007640B9" w:rsidRPr="00BC22F7">
        <w:rPr>
          <w:rFonts w:ascii="Tahoma" w:hAnsi="Tahoma" w:cs="Tahoma"/>
          <w:sz w:val="23"/>
          <w:szCs w:val="23"/>
        </w:rPr>
        <w:t>.</w:t>
      </w:r>
      <w:r w:rsidR="00C22313" w:rsidRPr="00BC22F7">
        <w:rPr>
          <w:rFonts w:ascii="Tahoma" w:hAnsi="Tahoma" w:cs="Tahoma"/>
          <w:sz w:val="23"/>
          <w:szCs w:val="23"/>
        </w:rPr>
        <w:t xml:space="preserve"> </w:t>
      </w:r>
      <w:r w:rsidR="009F019B" w:rsidRPr="00BC22F7">
        <w:rPr>
          <w:rFonts w:ascii="Tahoma" w:hAnsi="Tahoma" w:cs="Tahoma"/>
          <w:sz w:val="23"/>
          <w:szCs w:val="23"/>
        </w:rPr>
        <w:t>Interestingly, one key variable that stood out across minority groups is an employer’s commitment to diversity. W</w:t>
      </w:r>
      <w:r w:rsidR="005538EE" w:rsidRPr="00BC22F7">
        <w:rPr>
          <w:rFonts w:ascii="Tahoma" w:hAnsi="Tahoma" w:cs="Tahoma"/>
          <w:sz w:val="23"/>
          <w:szCs w:val="23"/>
        </w:rPr>
        <w:t xml:space="preserve">e found employer commitment to diversity </w:t>
      </w:r>
      <w:r w:rsidR="007640B9" w:rsidRPr="00BC22F7">
        <w:rPr>
          <w:rFonts w:ascii="Tahoma" w:hAnsi="Tahoma" w:cs="Tahoma"/>
          <w:sz w:val="23"/>
          <w:szCs w:val="23"/>
        </w:rPr>
        <w:t>was</w:t>
      </w:r>
      <w:r w:rsidR="005538EE" w:rsidRPr="00BC22F7">
        <w:rPr>
          <w:rFonts w:ascii="Tahoma" w:hAnsi="Tahoma" w:cs="Tahoma"/>
          <w:sz w:val="23"/>
          <w:szCs w:val="23"/>
        </w:rPr>
        <w:t xml:space="preserve"> </w:t>
      </w:r>
      <w:r w:rsidR="00B64045" w:rsidRPr="00BC22F7">
        <w:rPr>
          <w:rFonts w:ascii="Tahoma" w:hAnsi="Tahoma" w:cs="Tahoma"/>
          <w:sz w:val="23"/>
          <w:szCs w:val="23"/>
        </w:rPr>
        <w:t>significantly</w:t>
      </w:r>
      <w:r w:rsidR="005538EE" w:rsidRPr="00BC22F7">
        <w:rPr>
          <w:rFonts w:ascii="Tahoma" w:hAnsi="Tahoma" w:cs="Tahoma"/>
          <w:sz w:val="23"/>
          <w:szCs w:val="23"/>
        </w:rPr>
        <w:t xml:space="preserve"> associated with a preference for public service</w:t>
      </w:r>
      <w:r w:rsidR="00B64045" w:rsidRPr="00BC22F7">
        <w:rPr>
          <w:rFonts w:ascii="Tahoma" w:hAnsi="Tahoma" w:cs="Tahoma"/>
          <w:sz w:val="23"/>
          <w:szCs w:val="23"/>
        </w:rPr>
        <w:t>; moreover,</w:t>
      </w:r>
      <w:r w:rsidRPr="00BC22F7">
        <w:rPr>
          <w:rFonts w:ascii="Tahoma" w:hAnsi="Tahoma" w:cs="Tahoma"/>
          <w:sz w:val="23"/>
          <w:szCs w:val="23"/>
        </w:rPr>
        <w:t xml:space="preserve"> </w:t>
      </w:r>
      <w:r w:rsidR="005538EE" w:rsidRPr="00BC22F7">
        <w:rPr>
          <w:rFonts w:ascii="Tahoma" w:hAnsi="Tahoma" w:cs="Tahoma"/>
          <w:sz w:val="23"/>
          <w:szCs w:val="23"/>
        </w:rPr>
        <w:t xml:space="preserve">each minority group (i.e., women, visible minorities, Aboriginal peoples, persons with disabilities, and LGBT </w:t>
      </w:r>
      <w:r w:rsidR="004E3518" w:rsidRPr="00BC22F7">
        <w:rPr>
          <w:rFonts w:ascii="Tahoma" w:hAnsi="Tahoma" w:cs="Tahoma"/>
          <w:sz w:val="23"/>
          <w:szCs w:val="23"/>
        </w:rPr>
        <w:t>individuals</w:t>
      </w:r>
      <w:r w:rsidR="005538EE" w:rsidRPr="00BC22F7">
        <w:rPr>
          <w:rFonts w:ascii="Tahoma" w:hAnsi="Tahoma" w:cs="Tahoma"/>
          <w:sz w:val="23"/>
          <w:szCs w:val="23"/>
        </w:rPr>
        <w:t xml:space="preserve">) </w:t>
      </w:r>
      <w:r w:rsidR="00B64045" w:rsidRPr="00BC22F7">
        <w:rPr>
          <w:rFonts w:ascii="Tahoma" w:hAnsi="Tahoma" w:cs="Tahoma"/>
          <w:sz w:val="23"/>
          <w:szCs w:val="23"/>
        </w:rPr>
        <w:t xml:space="preserve">reported that this </w:t>
      </w:r>
      <w:r w:rsidR="007640B9" w:rsidRPr="00BC22F7">
        <w:rPr>
          <w:rFonts w:ascii="Tahoma" w:hAnsi="Tahoma" w:cs="Tahoma"/>
          <w:sz w:val="23"/>
          <w:szCs w:val="23"/>
        </w:rPr>
        <w:t xml:space="preserve">variable </w:t>
      </w:r>
      <w:r w:rsidR="00B64045" w:rsidRPr="00BC22F7">
        <w:rPr>
          <w:rFonts w:ascii="Tahoma" w:hAnsi="Tahoma" w:cs="Tahoma"/>
          <w:sz w:val="23"/>
          <w:szCs w:val="23"/>
        </w:rPr>
        <w:t>is a key work value that they consider in their choice of employers</w:t>
      </w:r>
      <w:r w:rsidR="005538EE" w:rsidRPr="00BC22F7">
        <w:rPr>
          <w:rFonts w:ascii="Tahoma" w:hAnsi="Tahoma" w:cs="Tahoma"/>
          <w:sz w:val="23"/>
          <w:szCs w:val="23"/>
        </w:rPr>
        <w:t xml:space="preserve">. </w:t>
      </w:r>
      <w:r w:rsidR="00B64045" w:rsidRPr="00BC22F7">
        <w:rPr>
          <w:rFonts w:ascii="Tahoma" w:hAnsi="Tahoma" w:cs="Tahoma"/>
          <w:sz w:val="23"/>
          <w:szCs w:val="23"/>
        </w:rPr>
        <w:t xml:space="preserve">This finding is consistent with prior studies suggesting that </w:t>
      </w:r>
      <w:r w:rsidR="0008264C" w:rsidRPr="00BC22F7">
        <w:rPr>
          <w:rFonts w:ascii="Tahoma" w:hAnsi="Tahoma" w:cs="Tahoma"/>
          <w:sz w:val="23"/>
          <w:szCs w:val="23"/>
        </w:rPr>
        <w:t xml:space="preserve">ethnic </w:t>
      </w:r>
      <w:r w:rsidR="005538EE" w:rsidRPr="00BC22F7">
        <w:rPr>
          <w:rFonts w:ascii="Tahoma" w:hAnsi="Tahoma" w:cs="Tahoma"/>
          <w:sz w:val="23"/>
          <w:szCs w:val="23"/>
        </w:rPr>
        <w:t>minorities</w:t>
      </w:r>
      <w:r w:rsidR="00B64045" w:rsidRPr="00BC22F7">
        <w:rPr>
          <w:rFonts w:ascii="Tahoma" w:hAnsi="Tahoma" w:cs="Tahoma"/>
          <w:sz w:val="23"/>
          <w:szCs w:val="23"/>
        </w:rPr>
        <w:t xml:space="preserve"> are </w:t>
      </w:r>
      <w:r w:rsidR="005538EE" w:rsidRPr="00BC22F7">
        <w:rPr>
          <w:rFonts w:ascii="Tahoma" w:hAnsi="Tahoma" w:cs="Tahoma"/>
          <w:sz w:val="23"/>
          <w:szCs w:val="23"/>
        </w:rPr>
        <w:t xml:space="preserve">more attracted to organizations </w:t>
      </w:r>
      <w:r w:rsidR="001B01E8" w:rsidRPr="00BC22F7">
        <w:rPr>
          <w:rFonts w:ascii="Tahoma" w:hAnsi="Tahoma" w:cs="Tahoma"/>
          <w:sz w:val="23"/>
          <w:szCs w:val="23"/>
        </w:rPr>
        <w:t xml:space="preserve">who convey clear </w:t>
      </w:r>
      <w:r w:rsidR="00D56323" w:rsidRPr="00BC22F7">
        <w:rPr>
          <w:rFonts w:ascii="Tahoma" w:hAnsi="Tahoma" w:cs="Tahoma"/>
          <w:sz w:val="23"/>
          <w:szCs w:val="23"/>
        </w:rPr>
        <w:t xml:space="preserve">recruitment </w:t>
      </w:r>
      <w:r w:rsidR="001B01E8" w:rsidRPr="00BC22F7">
        <w:rPr>
          <w:rFonts w:ascii="Tahoma" w:hAnsi="Tahoma" w:cs="Tahoma"/>
          <w:sz w:val="23"/>
          <w:szCs w:val="23"/>
        </w:rPr>
        <w:t>messaging supporting diversity through job advertisements that state this commitment explicitly</w:t>
      </w:r>
      <w:r w:rsidR="005538EE" w:rsidRPr="00BC22F7">
        <w:rPr>
          <w:rFonts w:ascii="Tahoma" w:hAnsi="Tahoma" w:cs="Tahoma"/>
          <w:sz w:val="23"/>
          <w:szCs w:val="23"/>
        </w:rPr>
        <w:t xml:space="preserve"> (Ng &amp; Burke, 2005) or </w:t>
      </w:r>
      <w:proofErr w:type="gramStart"/>
      <w:r w:rsidR="001B01E8" w:rsidRPr="00BC22F7">
        <w:rPr>
          <w:rFonts w:ascii="Tahoma" w:hAnsi="Tahoma" w:cs="Tahoma"/>
          <w:sz w:val="23"/>
          <w:szCs w:val="23"/>
        </w:rPr>
        <w:t xml:space="preserve">that </w:t>
      </w:r>
      <w:r w:rsidR="005538EE" w:rsidRPr="00BC22F7">
        <w:rPr>
          <w:rFonts w:ascii="Tahoma" w:hAnsi="Tahoma" w:cs="Tahoma"/>
          <w:sz w:val="23"/>
          <w:szCs w:val="23"/>
        </w:rPr>
        <w:t>portra</w:t>
      </w:r>
      <w:r w:rsidR="00B64045" w:rsidRPr="00BC22F7">
        <w:rPr>
          <w:rFonts w:ascii="Tahoma" w:hAnsi="Tahoma" w:cs="Tahoma"/>
          <w:sz w:val="23"/>
          <w:szCs w:val="23"/>
        </w:rPr>
        <w:t>y</w:t>
      </w:r>
      <w:proofErr w:type="gramEnd"/>
      <w:r w:rsidR="005538EE" w:rsidRPr="00BC22F7">
        <w:rPr>
          <w:rFonts w:ascii="Tahoma" w:hAnsi="Tahoma" w:cs="Tahoma"/>
          <w:sz w:val="23"/>
          <w:szCs w:val="23"/>
        </w:rPr>
        <w:t xml:space="preserve"> other </w:t>
      </w:r>
      <w:r w:rsidR="0008264C" w:rsidRPr="00BC22F7">
        <w:rPr>
          <w:rFonts w:ascii="Tahoma" w:hAnsi="Tahoma" w:cs="Tahoma"/>
          <w:sz w:val="23"/>
          <w:szCs w:val="23"/>
        </w:rPr>
        <w:t xml:space="preserve">(racial) </w:t>
      </w:r>
      <w:r w:rsidR="005538EE" w:rsidRPr="00BC22F7">
        <w:rPr>
          <w:rFonts w:ascii="Tahoma" w:hAnsi="Tahoma" w:cs="Tahoma"/>
          <w:sz w:val="23"/>
          <w:szCs w:val="23"/>
        </w:rPr>
        <w:t xml:space="preserve">minorities </w:t>
      </w:r>
      <w:r w:rsidR="0008264C" w:rsidRPr="00BC22F7">
        <w:rPr>
          <w:rFonts w:ascii="Tahoma" w:hAnsi="Tahoma" w:cs="Tahoma"/>
          <w:sz w:val="23"/>
          <w:szCs w:val="23"/>
        </w:rPr>
        <w:t xml:space="preserve">in the workplace </w:t>
      </w:r>
      <w:r w:rsidR="005538EE" w:rsidRPr="00BC22F7">
        <w:rPr>
          <w:rFonts w:ascii="Tahoma" w:hAnsi="Tahoma" w:cs="Tahoma"/>
          <w:sz w:val="23"/>
          <w:szCs w:val="23"/>
        </w:rPr>
        <w:t>(</w:t>
      </w:r>
      <w:proofErr w:type="spellStart"/>
      <w:r w:rsidR="005538EE" w:rsidRPr="00BC22F7">
        <w:rPr>
          <w:rFonts w:ascii="Tahoma" w:hAnsi="Tahoma" w:cs="Tahoma"/>
          <w:sz w:val="23"/>
          <w:szCs w:val="23"/>
        </w:rPr>
        <w:t>Highhouse</w:t>
      </w:r>
      <w:proofErr w:type="spellEnd"/>
      <w:r w:rsidR="005538EE" w:rsidRPr="00BC22F7">
        <w:rPr>
          <w:rFonts w:ascii="Tahoma" w:hAnsi="Tahoma" w:cs="Tahoma"/>
          <w:sz w:val="23"/>
          <w:szCs w:val="23"/>
        </w:rPr>
        <w:t xml:space="preserve">, </w:t>
      </w:r>
      <w:proofErr w:type="spellStart"/>
      <w:r w:rsidR="005538EE" w:rsidRPr="00BC22F7">
        <w:rPr>
          <w:rFonts w:ascii="Tahoma" w:hAnsi="Tahoma" w:cs="Tahoma"/>
          <w:sz w:val="23"/>
          <w:szCs w:val="23"/>
        </w:rPr>
        <w:t>Stierwalt</w:t>
      </w:r>
      <w:proofErr w:type="spellEnd"/>
      <w:r w:rsidR="005538EE" w:rsidRPr="00BC22F7">
        <w:rPr>
          <w:rFonts w:ascii="Tahoma" w:hAnsi="Tahoma" w:cs="Tahoma"/>
          <w:sz w:val="23"/>
          <w:szCs w:val="23"/>
        </w:rPr>
        <w:t xml:space="preserve">, </w:t>
      </w:r>
      <w:proofErr w:type="spellStart"/>
      <w:r w:rsidR="005538EE" w:rsidRPr="00BC22F7">
        <w:rPr>
          <w:rFonts w:ascii="Tahoma" w:hAnsi="Tahoma" w:cs="Tahoma"/>
          <w:sz w:val="23"/>
          <w:szCs w:val="23"/>
        </w:rPr>
        <w:t>Bachiochi</w:t>
      </w:r>
      <w:proofErr w:type="spellEnd"/>
      <w:r w:rsidR="005538EE" w:rsidRPr="00BC22F7">
        <w:rPr>
          <w:rFonts w:ascii="Tahoma" w:hAnsi="Tahoma" w:cs="Tahoma"/>
          <w:sz w:val="23"/>
          <w:szCs w:val="23"/>
        </w:rPr>
        <w:t xml:space="preserve">, Elder, &amp; Fisher, 1999). </w:t>
      </w:r>
      <w:r w:rsidR="001B01E8" w:rsidRPr="00BC22F7">
        <w:rPr>
          <w:rFonts w:ascii="Tahoma" w:hAnsi="Tahoma" w:cs="Tahoma"/>
          <w:sz w:val="23"/>
          <w:szCs w:val="23"/>
        </w:rPr>
        <w:t xml:space="preserve">Interestingly, our results indicate </w:t>
      </w:r>
      <w:r w:rsidR="00B64045" w:rsidRPr="00BC22F7">
        <w:rPr>
          <w:rFonts w:ascii="Tahoma" w:hAnsi="Tahoma" w:cs="Tahoma"/>
          <w:sz w:val="23"/>
          <w:szCs w:val="23"/>
        </w:rPr>
        <w:t xml:space="preserve">that a commitment to diversity is valued not just by ethnic minorities, but </w:t>
      </w:r>
      <w:r w:rsidR="001B01E8" w:rsidRPr="00BC22F7">
        <w:rPr>
          <w:rFonts w:ascii="Tahoma" w:hAnsi="Tahoma" w:cs="Tahoma"/>
          <w:sz w:val="23"/>
          <w:szCs w:val="23"/>
        </w:rPr>
        <w:t xml:space="preserve">each of the </w:t>
      </w:r>
      <w:r w:rsidR="00B64045" w:rsidRPr="00BC22F7">
        <w:rPr>
          <w:rFonts w:ascii="Tahoma" w:hAnsi="Tahoma" w:cs="Tahoma"/>
          <w:sz w:val="23"/>
          <w:szCs w:val="23"/>
        </w:rPr>
        <w:t>unde</w:t>
      </w:r>
      <w:r w:rsidR="001B01E8" w:rsidRPr="00BC22F7">
        <w:rPr>
          <w:rFonts w:ascii="Tahoma" w:hAnsi="Tahoma" w:cs="Tahoma"/>
          <w:sz w:val="23"/>
          <w:szCs w:val="23"/>
        </w:rPr>
        <w:t>rrepresented groups</w:t>
      </w:r>
      <w:r w:rsidR="00B64045" w:rsidRPr="00BC22F7">
        <w:rPr>
          <w:rFonts w:ascii="Tahoma" w:hAnsi="Tahoma" w:cs="Tahoma"/>
          <w:sz w:val="23"/>
          <w:szCs w:val="23"/>
        </w:rPr>
        <w:t xml:space="preserve">. These groups may view this attribute as </w:t>
      </w:r>
      <w:r w:rsidR="007640B9" w:rsidRPr="00BC22F7">
        <w:rPr>
          <w:rFonts w:ascii="Tahoma" w:hAnsi="Tahoma" w:cs="Tahoma"/>
          <w:sz w:val="23"/>
          <w:szCs w:val="23"/>
        </w:rPr>
        <w:t xml:space="preserve">highly important </w:t>
      </w:r>
      <w:r w:rsidR="00B64045" w:rsidRPr="00BC22F7">
        <w:rPr>
          <w:rFonts w:ascii="Tahoma" w:hAnsi="Tahoma" w:cs="Tahoma"/>
          <w:sz w:val="23"/>
          <w:szCs w:val="23"/>
        </w:rPr>
        <w:t xml:space="preserve">as </w:t>
      </w:r>
      <w:r w:rsidR="00B64045" w:rsidRPr="00BC22F7">
        <w:rPr>
          <w:rFonts w:ascii="Tahoma" w:hAnsi="Tahoma" w:cs="Tahoma"/>
          <w:sz w:val="23"/>
          <w:szCs w:val="23"/>
        </w:rPr>
        <w:lastRenderedPageBreak/>
        <w:t>it may signal the quality of an</w:t>
      </w:r>
      <w:r w:rsidR="005538EE" w:rsidRPr="00BC22F7">
        <w:rPr>
          <w:rFonts w:ascii="Tahoma" w:hAnsi="Tahoma" w:cs="Tahoma"/>
          <w:sz w:val="23"/>
          <w:szCs w:val="23"/>
        </w:rPr>
        <w:t xml:space="preserve"> organization’s diversity climate and its willingness to hire</w:t>
      </w:r>
      <w:r w:rsidR="00B64045" w:rsidRPr="00BC22F7">
        <w:rPr>
          <w:rFonts w:ascii="Tahoma" w:hAnsi="Tahoma" w:cs="Tahoma"/>
          <w:sz w:val="23"/>
          <w:szCs w:val="23"/>
        </w:rPr>
        <w:t>,</w:t>
      </w:r>
      <w:r w:rsidR="001B01E8" w:rsidRPr="00BC22F7">
        <w:rPr>
          <w:rFonts w:ascii="Tahoma" w:hAnsi="Tahoma" w:cs="Tahoma"/>
          <w:sz w:val="23"/>
          <w:szCs w:val="23"/>
        </w:rPr>
        <w:t xml:space="preserve"> </w:t>
      </w:r>
      <w:r w:rsidR="005538EE" w:rsidRPr="00BC22F7">
        <w:rPr>
          <w:rFonts w:ascii="Tahoma" w:hAnsi="Tahoma" w:cs="Tahoma"/>
          <w:sz w:val="23"/>
          <w:szCs w:val="23"/>
        </w:rPr>
        <w:t>promote</w:t>
      </w:r>
      <w:r w:rsidR="00B64045" w:rsidRPr="00BC22F7">
        <w:rPr>
          <w:rFonts w:ascii="Tahoma" w:hAnsi="Tahoma" w:cs="Tahoma"/>
          <w:sz w:val="23"/>
          <w:szCs w:val="23"/>
        </w:rPr>
        <w:t>, and support the careers</w:t>
      </w:r>
      <w:r w:rsidR="005538EE" w:rsidRPr="00BC22F7">
        <w:rPr>
          <w:rFonts w:ascii="Tahoma" w:hAnsi="Tahoma" w:cs="Tahoma"/>
          <w:sz w:val="23"/>
          <w:szCs w:val="23"/>
        </w:rPr>
        <w:t xml:space="preserve"> </w:t>
      </w:r>
      <w:r w:rsidR="00B64045" w:rsidRPr="00BC22F7">
        <w:rPr>
          <w:rFonts w:ascii="Tahoma" w:hAnsi="Tahoma" w:cs="Tahoma"/>
          <w:sz w:val="23"/>
          <w:szCs w:val="23"/>
        </w:rPr>
        <w:t xml:space="preserve">of workers </w:t>
      </w:r>
      <w:r w:rsidR="001B01E8" w:rsidRPr="00BC22F7">
        <w:rPr>
          <w:rFonts w:ascii="Tahoma" w:hAnsi="Tahoma" w:cs="Tahoma"/>
          <w:sz w:val="23"/>
          <w:szCs w:val="23"/>
        </w:rPr>
        <w:t>in each of these groups.</w:t>
      </w:r>
      <w:r w:rsidR="00B64045" w:rsidRPr="00BC22F7">
        <w:rPr>
          <w:rFonts w:ascii="Tahoma" w:hAnsi="Tahoma" w:cs="Tahoma"/>
          <w:sz w:val="23"/>
          <w:szCs w:val="23"/>
        </w:rPr>
        <w:t xml:space="preserve"> </w:t>
      </w:r>
    </w:p>
    <w:p w:rsidR="005538EE" w:rsidRPr="00BC22F7" w:rsidRDefault="005538EE" w:rsidP="00B9229A">
      <w:pPr>
        <w:spacing w:after="0" w:line="240" w:lineRule="auto"/>
        <w:rPr>
          <w:rFonts w:ascii="Tahoma" w:hAnsi="Tahoma" w:cs="Tahoma"/>
          <w:sz w:val="23"/>
          <w:szCs w:val="23"/>
        </w:rPr>
      </w:pPr>
    </w:p>
    <w:p w:rsidR="00DB2FFF" w:rsidRPr="00BC22F7" w:rsidRDefault="001B01E8">
      <w:pPr>
        <w:spacing w:after="0" w:line="240" w:lineRule="auto"/>
        <w:ind w:firstLine="720"/>
        <w:rPr>
          <w:rFonts w:ascii="Tahoma" w:hAnsi="Tahoma" w:cs="Tahoma"/>
          <w:sz w:val="23"/>
          <w:szCs w:val="23"/>
        </w:rPr>
      </w:pPr>
      <w:r w:rsidRPr="00BC22F7">
        <w:rPr>
          <w:rFonts w:ascii="Tahoma" w:hAnsi="Tahoma" w:cs="Tahoma"/>
          <w:sz w:val="23"/>
          <w:szCs w:val="23"/>
        </w:rPr>
        <w:t>In terms of our findings regarding the work val</w:t>
      </w:r>
      <w:r w:rsidR="007640B9" w:rsidRPr="00BC22F7">
        <w:rPr>
          <w:rFonts w:ascii="Tahoma" w:hAnsi="Tahoma" w:cs="Tahoma"/>
          <w:sz w:val="23"/>
          <w:szCs w:val="23"/>
        </w:rPr>
        <w:t xml:space="preserve">ues of each minority group, </w:t>
      </w:r>
      <w:r w:rsidRPr="00BC22F7">
        <w:rPr>
          <w:rFonts w:ascii="Tahoma" w:hAnsi="Tahoma" w:cs="Tahoma"/>
          <w:sz w:val="23"/>
          <w:szCs w:val="23"/>
        </w:rPr>
        <w:t xml:space="preserve">results </w:t>
      </w:r>
      <w:r w:rsidR="004B38D2" w:rsidRPr="00BC22F7">
        <w:rPr>
          <w:rFonts w:ascii="Tahoma" w:hAnsi="Tahoma" w:cs="Tahoma"/>
          <w:sz w:val="23"/>
          <w:szCs w:val="23"/>
        </w:rPr>
        <w:t>indicate</w:t>
      </w:r>
      <w:r w:rsidR="007640B9" w:rsidRPr="00BC22F7">
        <w:rPr>
          <w:rFonts w:ascii="Tahoma" w:hAnsi="Tahoma" w:cs="Tahoma"/>
          <w:sz w:val="23"/>
          <w:szCs w:val="23"/>
        </w:rPr>
        <w:t>d</w:t>
      </w:r>
      <w:r w:rsidR="004B38D2" w:rsidRPr="00BC22F7">
        <w:rPr>
          <w:rFonts w:ascii="Tahoma" w:hAnsi="Tahoma" w:cs="Tahoma"/>
          <w:sz w:val="23"/>
          <w:szCs w:val="23"/>
        </w:rPr>
        <w:t xml:space="preserve"> that w</w:t>
      </w:r>
      <w:r w:rsidR="00D72BDE" w:rsidRPr="00BC22F7">
        <w:rPr>
          <w:rFonts w:ascii="Tahoma" w:hAnsi="Tahoma" w:cs="Tahoma"/>
          <w:sz w:val="23"/>
          <w:szCs w:val="23"/>
        </w:rPr>
        <w:t xml:space="preserve">omen value </w:t>
      </w:r>
      <w:r w:rsidR="007640B9" w:rsidRPr="00BC22F7">
        <w:rPr>
          <w:rFonts w:ascii="Tahoma" w:hAnsi="Tahoma" w:cs="Tahoma"/>
          <w:sz w:val="23"/>
          <w:szCs w:val="23"/>
        </w:rPr>
        <w:t xml:space="preserve">both </w:t>
      </w:r>
      <w:r w:rsidR="00D72BDE" w:rsidRPr="00BC22F7">
        <w:rPr>
          <w:rFonts w:ascii="Tahoma" w:hAnsi="Tahoma" w:cs="Tahoma"/>
          <w:sz w:val="23"/>
          <w:szCs w:val="23"/>
        </w:rPr>
        <w:t xml:space="preserve">job security </w:t>
      </w:r>
      <w:r w:rsidRPr="00BC22F7">
        <w:rPr>
          <w:rFonts w:ascii="Tahoma" w:hAnsi="Tahoma" w:cs="Tahoma"/>
          <w:sz w:val="23"/>
          <w:szCs w:val="23"/>
        </w:rPr>
        <w:t xml:space="preserve">and </w:t>
      </w:r>
      <w:r w:rsidR="00D72BDE" w:rsidRPr="00BC22F7">
        <w:rPr>
          <w:rFonts w:ascii="Tahoma" w:hAnsi="Tahoma" w:cs="Tahoma"/>
          <w:sz w:val="23"/>
          <w:szCs w:val="23"/>
        </w:rPr>
        <w:t>health and benefits</w:t>
      </w:r>
      <w:r w:rsidRPr="00BC22F7">
        <w:rPr>
          <w:rFonts w:ascii="Tahoma" w:hAnsi="Tahoma" w:cs="Tahoma"/>
          <w:sz w:val="23"/>
          <w:szCs w:val="23"/>
        </w:rPr>
        <w:t xml:space="preserve"> in addition to an </w:t>
      </w:r>
      <w:r w:rsidR="00D72BDE" w:rsidRPr="00BC22F7">
        <w:rPr>
          <w:rFonts w:ascii="Tahoma" w:hAnsi="Tahoma" w:cs="Tahoma"/>
          <w:sz w:val="23"/>
          <w:szCs w:val="23"/>
        </w:rPr>
        <w:t>employer</w:t>
      </w:r>
      <w:r w:rsidR="004B38D2" w:rsidRPr="00BC22F7">
        <w:rPr>
          <w:rFonts w:ascii="Tahoma" w:hAnsi="Tahoma" w:cs="Tahoma"/>
          <w:sz w:val="23"/>
          <w:szCs w:val="23"/>
        </w:rPr>
        <w:t>’s</w:t>
      </w:r>
      <w:r w:rsidR="00D72BDE" w:rsidRPr="00BC22F7">
        <w:rPr>
          <w:rFonts w:ascii="Tahoma" w:hAnsi="Tahoma" w:cs="Tahoma"/>
          <w:sz w:val="23"/>
          <w:szCs w:val="23"/>
        </w:rPr>
        <w:t xml:space="preserve"> commitment to social responsibility</w:t>
      </w:r>
      <w:r w:rsidRPr="00BC22F7">
        <w:rPr>
          <w:rFonts w:ascii="Tahoma" w:hAnsi="Tahoma" w:cs="Tahoma"/>
          <w:sz w:val="23"/>
          <w:szCs w:val="23"/>
        </w:rPr>
        <w:t xml:space="preserve"> and diversity</w:t>
      </w:r>
      <w:r w:rsidR="00D72BDE" w:rsidRPr="00BC22F7">
        <w:rPr>
          <w:rFonts w:ascii="Tahoma" w:hAnsi="Tahoma" w:cs="Tahoma"/>
          <w:sz w:val="23"/>
          <w:szCs w:val="23"/>
        </w:rPr>
        <w:t xml:space="preserve">. This finding is consistent with </w:t>
      </w:r>
      <w:r w:rsidR="004B38D2" w:rsidRPr="00BC22F7">
        <w:rPr>
          <w:rFonts w:ascii="Tahoma" w:hAnsi="Tahoma" w:cs="Tahoma"/>
          <w:sz w:val="23"/>
          <w:szCs w:val="23"/>
        </w:rPr>
        <w:t xml:space="preserve">the </w:t>
      </w:r>
      <w:r w:rsidR="00D72BDE" w:rsidRPr="00BC22F7">
        <w:rPr>
          <w:rFonts w:ascii="Tahoma" w:hAnsi="Tahoma" w:cs="Tahoma"/>
          <w:sz w:val="23"/>
          <w:szCs w:val="23"/>
        </w:rPr>
        <w:t xml:space="preserve">career patterns </w:t>
      </w:r>
      <w:r w:rsidR="004B38D2" w:rsidRPr="00BC22F7">
        <w:rPr>
          <w:rFonts w:ascii="Tahoma" w:hAnsi="Tahoma" w:cs="Tahoma"/>
          <w:sz w:val="23"/>
          <w:szCs w:val="23"/>
        </w:rPr>
        <w:t xml:space="preserve">of many women who </w:t>
      </w:r>
      <w:r w:rsidR="007640B9" w:rsidRPr="00BC22F7">
        <w:rPr>
          <w:rFonts w:ascii="Tahoma" w:hAnsi="Tahoma" w:cs="Tahoma"/>
          <w:sz w:val="23"/>
          <w:szCs w:val="23"/>
        </w:rPr>
        <w:t xml:space="preserve">express a strong </w:t>
      </w:r>
      <w:r w:rsidR="004B38D2" w:rsidRPr="00BC22F7">
        <w:rPr>
          <w:rFonts w:ascii="Tahoma" w:hAnsi="Tahoma" w:cs="Tahoma"/>
          <w:sz w:val="23"/>
          <w:szCs w:val="23"/>
        </w:rPr>
        <w:t xml:space="preserve">desire </w:t>
      </w:r>
      <w:r w:rsidR="007640B9" w:rsidRPr="00BC22F7">
        <w:rPr>
          <w:rFonts w:ascii="Tahoma" w:hAnsi="Tahoma" w:cs="Tahoma"/>
          <w:sz w:val="23"/>
          <w:szCs w:val="23"/>
        </w:rPr>
        <w:t xml:space="preserve">for greater </w:t>
      </w:r>
      <w:r w:rsidR="004B38D2" w:rsidRPr="00BC22F7">
        <w:rPr>
          <w:rFonts w:ascii="Tahoma" w:hAnsi="Tahoma" w:cs="Tahoma"/>
          <w:sz w:val="23"/>
          <w:szCs w:val="23"/>
        </w:rPr>
        <w:t xml:space="preserve">job </w:t>
      </w:r>
      <w:r w:rsidR="00D72BDE" w:rsidRPr="00BC22F7">
        <w:rPr>
          <w:rFonts w:ascii="Tahoma" w:hAnsi="Tahoma" w:cs="Tahoma"/>
          <w:sz w:val="23"/>
          <w:szCs w:val="23"/>
        </w:rPr>
        <w:t xml:space="preserve">security and </w:t>
      </w:r>
      <w:r w:rsidR="00B63813" w:rsidRPr="00BC22F7">
        <w:rPr>
          <w:rFonts w:ascii="Tahoma" w:hAnsi="Tahoma" w:cs="Tahoma"/>
          <w:sz w:val="23"/>
          <w:szCs w:val="23"/>
        </w:rPr>
        <w:t xml:space="preserve">employment </w:t>
      </w:r>
      <w:r w:rsidR="00D72BDE" w:rsidRPr="00BC22F7">
        <w:rPr>
          <w:rFonts w:ascii="Tahoma" w:hAnsi="Tahoma" w:cs="Tahoma"/>
          <w:sz w:val="23"/>
          <w:szCs w:val="23"/>
        </w:rPr>
        <w:t>benefits</w:t>
      </w:r>
      <w:r w:rsidR="00D56323" w:rsidRPr="00BC22F7">
        <w:rPr>
          <w:rFonts w:ascii="Tahoma" w:hAnsi="Tahoma" w:cs="Tahoma"/>
          <w:sz w:val="23"/>
          <w:szCs w:val="23"/>
        </w:rPr>
        <w:t>,</w:t>
      </w:r>
      <w:r w:rsidR="00D72BDE" w:rsidRPr="00BC22F7">
        <w:rPr>
          <w:rFonts w:ascii="Tahoma" w:hAnsi="Tahoma" w:cs="Tahoma"/>
          <w:sz w:val="23"/>
          <w:szCs w:val="23"/>
        </w:rPr>
        <w:t xml:space="preserve"> </w:t>
      </w:r>
      <w:r w:rsidR="004B38D2" w:rsidRPr="00BC22F7">
        <w:rPr>
          <w:rFonts w:ascii="Tahoma" w:hAnsi="Tahoma" w:cs="Tahoma"/>
          <w:sz w:val="23"/>
          <w:szCs w:val="23"/>
        </w:rPr>
        <w:t xml:space="preserve">particularly </w:t>
      </w:r>
      <w:r w:rsidR="00D72BDE" w:rsidRPr="00BC22F7">
        <w:rPr>
          <w:rFonts w:ascii="Tahoma" w:hAnsi="Tahoma" w:cs="Tahoma"/>
          <w:sz w:val="23"/>
          <w:szCs w:val="23"/>
        </w:rPr>
        <w:t xml:space="preserve">following maternity (Schweitzer, Ng, Lyons, &amp; Kuron, 2011). Furthermore, a large number of studies have </w:t>
      </w:r>
      <w:r w:rsidR="004B38D2" w:rsidRPr="00BC22F7">
        <w:rPr>
          <w:rFonts w:ascii="Tahoma" w:hAnsi="Tahoma" w:cs="Tahoma"/>
          <w:sz w:val="23"/>
          <w:szCs w:val="23"/>
        </w:rPr>
        <w:t xml:space="preserve">reported </w:t>
      </w:r>
      <w:r w:rsidR="00D72BDE" w:rsidRPr="00BC22F7">
        <w:rPr>
          <w:rFonts w:ascii="Tahoma" w:hAnsi="Tahoma" w:cs="Tahoma"/>
          <w:sz w:val="23"/>
          <w:szCs w:val="23"/>
        </w:rPr>
        <w:t>that women</w:t>
      </w:r>
      <w:r w:rsidR="004B38D2" w:rsidRPr="00BC22F7">
        <w:rPr>
          <w:rFonts w:ascii="Tahoma" w:hAnsi="Tahoma" w:cs="Tahoma"/>
          <w:sz w:val="23"/>
          <w:szCs w:val="23"/>
        </w:rPr>
        <w:t xml:space="preserve"> often place a stronger emphasis on </w:t>
      </w:r>
      <w:r w:rsidR="00D72BDE" w:rsidRPr="00BC22F7">
        <w:rPr>
          <w:rFonts w:ascii="Tahoma" w:hAnsi="Tahoma" w:cs="Tahoma"/>
          <w:sz w:val="23"/>
          <w:szCs w:val="23"/>
        </w:rPr>
        <w:t xml:space="preserve">ethical </w:t>
      </w:r>
      <w:r w:rsidR="004B38D2" w:rsidRPr="00BC22F7">
        <w:rPr>
          <w:rFonts w:ascii="Tahoma" w:hAnsi="Tahoma" w:cs="Tahoma"/>
          <w:sz w:val="23"/>
          <w:szCs w:val="23"/>
        </w:rPr>
        <w:t xml:space="preserve">behavior </w:t>
      </w:r>
      <w:r w:rsidR="00D72BDE" w:rsidRPr="00BC22F7">
        <w:rPr>
          <w:rFonts w:ascii="Tahoma" w:hAnsi="Tahoma" w:cs="Tahoma"/>
          <w:sz w:val="23"/>
          <w:szCs w:val="23"/>
        </w:rPr>
        <w:t xml:space="preserve">than men (cf. Dalton &amp; </w:t>
      </w:r>
      <w:proofErr w:type="spellStart"/>
      <w:r w:rsidR="00D72BDE" w:rsidRPr="00BC22F7">
        <w:rPr>
          <w:rFonts w:ascii="Tahoma" w:hAnsi="Tahoma" w:cs="Tahoma"/>
          <w:sz w:val="23"/>
          <w:szCs w:val="23"/>
        </w:rPr>
        <w:t>Ortegren</w:t>
      </w:r>
      <w:proofErr w:type="spellEnd"/>
      <w:r w:rsidR="00D72BDE" w:rsidRPr="00BC22F7">
        <w:rPr>
          <w:rFonts w:ascii="Tahoma" w:hAnsi="Tahoma" w:cs="Tahoma"/>
          <w:sz w:val="23"/>
          <w:szCs w:val="23"/>
        </w:rPr>
        <w:t>, 2011)</w:t>
      </w:r>
      <w:r w:rsidR="004E3518" w:rsidRPr="00BC22F7">
        <w:rPr>
          <w:rFonts w:ascii="Tahoma" w:hAnsi="Tahoma" w:cs="Tahoma"/>
          <w:sz w:val="23"/>
          <w:szCs w:val="23"/>
        </w:rPr>
        <w:t>,</w:t>
      </w:r>
      <w:r w:rsidR="00D72BDE" w:rsidRPr="00BC22F7">
        <w:rPr>
          <w:rFonts w:ascii="Tahoma" w:hAnsi="Tahoma" w:cs="Tahoma"/>
          <w:sz w:val="23"/>
          <w:szCs w:val="23"/>
        </w:rPr>
        <w:t xml:space="preserve"> and exhibit attributes such as nurturance and </w:t>
      </w:r>
      <w:proofErr w:type="spellStart"/>
      <w:r w:rsidR="00D72BDE" w:rsidRPr="00BC22F7">
        <w:rPr>
          <w:rFonts w:ascii="Tahoma" w:hAnsi="Tahoma" w:cs="Tahoma"/>
          <w:sz w:val="23"/>
          <w:szCs w:val="23"/>
        </w:rPr>
        <w:t>succorance</w:t>
      </w:r>
      <w:proofErr w:type="spellEnd"/>
      <w:r w:rsidR="00D72BDE" w:rsidRPr="00BC22F7">
        <w:rPr>
          <w:rFonts w:ascii="Tahoma" w:hAnsi="Tahoma" w:cs="Tahoma"/>
          <w:sz w:val="23"/>
          <w:szCs w:val="23"/>
        </w:rPr>
        <w:t xml:space="preserve"> (Williams &amp; Best, 1990)</w:t>
      </w:r>
      <w:r w:rsidR="00D56323" w:rsidRPr="00BC22F7">
        <w:rPr>
          <w:rFonts w:ascii="Tahoma" w:hAnsi="Tahoma" w:cs="Tahoma"/>
          <w:sz w:val="23"/>
          <w:szCs w:val="23"/>
        </w:rPr>
        <w:t>,</w:t>
      </w:r>
      <w:r w:rsidR="00D72BDE" w:rsidRPr="00BC22F7">
        <w:rPr>
          <w:rFonts w:ascii="Tahoma" w:hAnsi="Tahoma" w:cs="Tahoma"/>
          <w:sz w:val="23"/>
          <w:szCs w:val="23"/>
        </w:rPr>
        <w:t xml:space="preserve"> which may lead to a value preference for social responsibility.</w:t>
      </w:r>
    </w:p>
    <w:p w:rsidR="00D72BDE" w:rsidRPr="00BC22F7" w:rsidRDefault="00D72BDE" w:rsidP="00B9229A">
      <w:pPr>
        <w:spacing w:after="0" w:line="240" w:lineRule="auto"/>
        <w:rPr>
          <w:rFonts w:ascii="Tahoma" w:hAnsi="Tahoma" w:cs="Tahoma"/>
          <w:sz w:val="23"/>
          <w:szCs w:val="23"/>
        </w:rPr>
      </w:pPr>
    </w:p>
    <w:p w:rsidR="00DB2FFF" w:rsidRPr="00BC22F7" w:rsidRDefault="001B01E8">
      <w:pPr>
        <w:spacing w:after="0" w:line="240" w:lineRule="auto"/>
        <w:ind w:firstLine="720"/>
        <w:rPr>
          <w:rFonts w:ascii="Tahoma" w:hAnsi="Tahoma" w:cs="Tahoma"/>
          <w:sz w:val="23"/>
          <w:szCs w:val="23"/>
        </w:rPr>
      </w:pPr>
      <w:r w:rsidRPr="00BC22F7">
        <w:rPr>
          <w:rFonts w:ascii="Tahoma" w:hAnsi="Tahoma" w:cs="Tahoma"/>
          <w:sz w:val="23"/>
          <w:szCs w:val="23"/>
        </w:rPr>
        <w:t xml:space="preserve">With respect to visible minorities, </w:t>
      </w:r>
      <w:r w:rsidR="004B38D2" w:rsidRPr="00BC22F7">
        <w:rPr>
          <w:rFonts w:ascii="Tahoma" w:hAnsi="Tahoma" w:cs="Tahoma"/>
          <w:sz w:val="23"/>
          <w:szCs w:val="23"/>
        </w:rPr>
        <w:t>v</w:t>
      </w:r>
      <w:r w:rsidR="009864B4" w:rsidRPr="00BC22F7">
        <w:rPr>
          <w:rFonts w:ascii="Tahoma" w:hAnsi="Tahoma" w:cs="Tahoma"/>
          <w:sz w:val="23"/>
          <w:szCs w:val="23"/>
        </w:rPr>
        <w:t>isible minorit</w:t>
      </w:r>
      <w:r w:rsidRPr="00BC22F7">
        <w:rPr>
          <w:rFonts w:ascii="Tahoma" w:hAnsi="Tahoma" w:cs="Tahoma"/>
          <w:sz w:val="23"/>
          <w:szCs w:val="23"/>
        </w:rPr>
        <w:t xml:space="preserve">y group members </w:t>
      </w:r>
      <w:r w:rsidR="009864B4" w:rsidRPr="00BC22F7">
        <w:rPr>
          <w:rFonts w:ascii="Tahoma" w:hAnsi="Tahoma" w:cs="Tahoma"/>
          <w:sz w:val="23"/>
          <w:szCs w:val="23"/>
        </w:rPr>
        <w:t>reported a</w:t>
      </w:r>
      <w:r w:rsidRPr="00BC22F7">
        <w:rPr>
          <w:rFonts w:ascii="Tahoma" w:hAnsi="Tahoma" w:cs="Tahoma"/>
          <w:sz w:val="23"/>
          <w:szCs w:val="23"/>
        </w:rPr>
        <w:t>n overall</w:t>
      </w:r>
      <w:r w:rsidR="009864B4" w:rsidRPr="00BC22F7">
        <w:rPr>
          <w:rFonts w:ascii="Tahoma" w:hAnsi="Tahoma" w:cs="Tahoma"/>
          <w:sz w:val="23"/>
          <w:szCs w:val="23"/>
        </w:rPr>
        <w:t xml:space="preserve"> preference for private sector careers</w:t>
      </w:r>
      <w:r w:rsidR="00C66210" w:rsidRPr="00BC22F7">
        <w:rPr>
          <w:rFonts w:ascii="Tahoma" w:hAnsi="Tahoma" w:cs="Tahoma"/>
          <w:sz w:val="23"/>
          <w:szCs w:val="23"/>
        </w:rPr>
        <w:t xml:space="preserve"> and for two work values that predict private sector attraction – working for an employer that is a leader in its field and opportunities for advancement. However, </w:t>
      </w:r>
      <w:r w:rsidR="00D56323" w:rsidRPr="00BC22F7">
        <w:rPr>
          <w:rFonts w:ascii="Tahoma" w:hAnsi="Tahoma" w:cs="Tahoma"/>
          <w:sz w:val="23"/>
          <w:szCs w:val="23"/>
        </w:rPr>
        <w:t xml:space="preserve">it is also notable that </w:t>
      </w:r>
      <w:r w:rsidR="00C66210" w:rsidRPr="00BC22F7">
        <w:rPr>
          <w:rFonts w:ascii="Tahoma" w:hAnsi="Tahoma" w:cs="Tahoma"/>
          <w:sz w:val="23"/>
          <w:szCs w:val="23"/>
        </w:rPr>
        <w:t xml:space="preserve">visible minorities </w:t>
      </w:r>
      <w:r w:rsidR="009864B4" w:rsidRPr="00BC22F7">
        <w:rPr>
          <w:rFonts w:ascii="Tahoma" w:hAnsi="Tahoma" w:cs="Tahoma"/>
          <w:sz w:val="23"/>
          <w:szCs w:val="23"/>
        </w:rPr>
        <w:t xml:space="preserve">also </w:t>
      </w:r>
      <w:r w:rsidR="00D56323" w:rsidRPr="00BC22F7">
        <w:rPr>
          <w:rFonts w:ascii="Tahoma" w:hAnsi="Tahoma" w:cs="Tahoma"/>
          <w:sz w:val="23"/>
          <w:szCs w:val="23"/>
        </w:rPr>
        <w:t>scored</w:t>
      </w:r>
      <w:r w:rsidR="00C66210" w:rsidRPr="00BC22F7">
        <w:rPr>
          <w:rFonts w:ascii="Tahoma" w:hAnsi="Tahoma" w:cs="Tahoma"/>
          <w:sz w:val="23"/>
          <w:szCs w:val="23"/>
        </w:rPr>
        <w:t xml:space="preserve"> relatively highly on each of the key work values that predict</w:t>
      </w:r>
      <w:r w:rsidRPr="00BC22F7">
        <w:rPr>
          <w:rFonts w:ascii="Tahoma" w:hAnsi="Tahoma" w:cs="Tahoma"/>
          <w:sz w:val="23"/>
          <w:szCs w:val="23"/>
        </w:rPr>
        <w:t xml:space="preserve"> public sector attraction -- </w:t>
      </w:r>
      <w:r w:rsidR="009864B4" w:rsidRPr="00BC22F7">
        <w:rPr>
          <w:rFonts w:ascii="Tahoma" w:hAnsi="Tahoma" w:cs="Tahoma"/>
          <w:sz w:val="23"/>
          <w:szCs w:val="23"/>
        </w:rPr>
        <w:t>job security, employment benefits, and a commitment to social responsibility</w:t>
      </w:r>
      <w:r w:rsidRPr="00BC22F7">
        <w:rPr>
          <w:rFonts w:ascii="Tahoma" w:hAnsi="Tahoma" w:cs="Tahoma"/>
          <w:sz w:val="23"/>
          <w:szCs w:val="23"/>
        </w:rPr>
        <w:t xml:space="preserve"> and diversity</w:t>
      </w:r>
      <w:r w:rsidR="009864B4" w:rsidRPr="00BC22F7">
        <w:rPr>
          <w:rFonts w:ascii="Tahoma" w:hAnsi="Tahoma" w:cs="Tahoma"/>
          <w:sz w:val="23"/>
          <w:szCs w:val="23"/>
        </w:rPr>
        <w:t xml:space="preserve">. Many recent immigrants, who are also visible minorities, </w:t>
      </w:r>
      <w:r w:rsidR="00117AD4" w:rsidRPr="00BC22F7">
        <w:rPr>
          <w:rFonts w:ascii="Tahoma" w:hAnsi="Tahoma" w:cs="Tahoma"/>
          <w:sz w:val="23"/>
          <w:szCs w:val="23"/>
        </w:rPr>
        <w:t xml:space="preserve">are </w:t>
      </w:r>
      <w:r w:rsidR="009864B4" w:rsidRPr="00BC22F7">
        <w:rPr>
          <w:rFonts w:ascii="Tahoma" w:hAnsi="Tahoma" w:cs="Tahoma"/>
          <w:sz w:val="23"/>
          <w:szCs w:val="23"/>
        </w:rPr>
        <w:t xml:space="preserve">focused on socioeconomic mobility (Ng &amp; Sears, 2010) and </w:t>
      </w:r>
      <w:r w:rsidR="008E3A3B" w:rsidRPr="00BC22F7">
        <w:rPr>
          <w:rFonts w:ascii="Tahoma" w:hAnsi="Tahoma" w:cs="Tahoma"/>
          <w:sz w:val="23"/>
          <w:szCs w:val="23"/>
        </w:rPr>
        <w:t>may therefore</w:t>
      </w:r>
      <w:r w:rsidR="009864B4" w:rsidRPr="00BC22F7">
        <w:rPr>
          <w:rFonts w:ascii="Tahoma" w:hAnsi="Tahoma" w:cs="Tahoma"/>
          <w:sz w:val="23"/>
          <w:szCs w:val="23"/>
        </w:rPr>
        <w:t xml:space="preserve"> emphasize working for an industry leader and </w:t>
      </w:r>
      <w:r w:rsidRPr="00BC22F7">
        <w:rPr>
          <w:rFonts w:ascii="Tahoma" w:hAnsi="Tahoma" w:cs="Tahoma"/>
          <w:sz w:val="23"/>
          <w:szCs w:val="23"/>
        </w:rPr>
        <w:t xml:space="preserve">gaining </w:t>
      </w:r>
      <w:r w:rsidR="009864B4" w:rsidRPr="00BC22F7">
        <w:rPr>
          <w:rFonts w:ascii="Tahoma" w:hAnsi="Tahoma" w:cs="Tahoma"/>
          <w:sz w:val="23"/>
          <w:szCs w:val="23"/>
        </w:rPr>
        <w:t xml:space="preserve">advancement opportunities. Although </w:t>
      </w:r>
      <w:r w:rsidR="00117AD4" w:rsidRPr="00BC22F7">
        <w:rPr>
          <w:rFonts w:ascii="Tahoma" w:hAnsi="Tahoma" w:cs="Tahoma"/>
          <w:sz w:val="23"/>
          <w:szCs w:val="23"/>
        </w:rPr>
        <w:t xml:space="preserve">visible minorities </w:t>
      </w:r>
      <w:r w:rsidR="009864B4" w:rsidRPr="00BC22F7">
        <w:rPr>
          <w:rFonts w:ascii="Tahoma" w:hAnsi="Tahoma" w:cs="Tahoma"/>
          <w:sz w:val="23"/>
          <w:szCs w:val="23"/>
        </w:rPr>
        <w:t xml:space="preserve">also </w:t>
      </w:r>
      <w:r w:rsidR="00117AD4" w:rsidRPr="00BC22F7">
        <w:rPr>
          <w:rFonts w:ascii="Tahoma" w:hAnsi="Tahoma" w:cs="Tahoma"/>
          <w:sz w:val="23"/>
          <w:szCs w:val="23"/>
        </w:rPr>
        <w:t xml:space="preserve">value </w:t>
      </w:r>
      <w:r w:rsidR="00C66210" w:rsidRPr="00BC22F7">
        <w:rPr>
          <w:rFonts w:ascii="Tahoma" w:hAnsi="Tahoma" w:cs="Tahoma"/>
          <w:sz w:val="23"/>
          <w:szCs w:val="23"/>
        </w:rPr>
        <w:t xml:space="preserve">comparable </w:t>
      </w:r>
      <w:r w:rsidR="009864B4" w:rsidRPr="00BC22F7">
        <w:rPr>
          <w:rFonts w:ascii="Tahoma" w:hAnsi="Tahoma" w:cs="Tahoma"/>
          <w:sz w:val="23"/>
          <w:szCs w:val="23"/>
        </w:rPr>
        <w:t xml:space="preserve">working conditions </w:t>
      </w:r>
      <w:r w:rsidR="00C66210" w:rsidRPr="00BC22F7">
        <w:rPr>
          <w:rFonts w:ascii="Tahoma" w:hAnsi="Tahoma" w:cs="Tahoma"/>
          <w:sz w:val="23"/>
          <w:szCs w:val="23"/>
        </w:rPr>
        <w:t>to</w:t>
      </w:r>
      <w:r w:rsidR="009864B4" w:rsidRPr="00BC22F7">
        <w:rPr>
          <w:rFonts w:ascii="Tahoma" w:hAnsi="Tahoma" w:cs="Tahoma"/>
          <w:sz w:val="23"/>
          <w:szCs w:val="23"/>
        </w:rPr>
        <w:t xml:space="preserve"> other</w:t>
      </w:r>
      <w:r w:rsidR="00117AD4" w:rsidRPr="00BC22F7">
        <w:rPr>
          <w:rFonts w:ascii="Tahoma" w:hAnsi="Tahoma" w:cs="Tahoma"/>
          <w:sz w:val="23"/>
          <w:szCs w:val="23"/>
        </w:rPr>
        <w:t>s (Ng &amp; Sears, 2010)</w:t>
      </w:r>
      <w:r w:rsidR="009864B4" w:rsidRPr="00BC22F7">
        <w:rPr>
          <w:rFonts w:ascii="Tahoma" w:hAnsi="Tahoma" w:cs="Tahoma"/>
          <w:sz w:val="23"/>
          <w:szCs w:val="23"/>
        </w:rPr>
        <w:t xml:space="preserve">, </w:t>
      </w:r>
      <w:r w:rsidR="00117AD4" w:rsidRPr="00BC22F7">
        <w:rPr>
          <w:rFonts w:ascii="Tahoma" w:hAnsi="Tahoma" w:cs="Tahoma"/>
          <w:sz w:val="23"/>
          <w:szCs w:val="23"/>
        </w:rPr>
        <w:t>the desire for rapid socioeconomic mobility may “crowd out” other aspects of work such as job security, employment benefits, and satisfaction derived from intrinsic aspects of work (</w:t>
      </w:r>
      <w:proofErr w:type="spellStart"/>
      <w:r w:rsidR="00117AD4" w:rsidRPr="00BC22F7">
        <w:rPr>
          <w:rFonts w:ascii="Tahoma" w:hAnsi="Tahoma" w:cs="Tahoma"/>
          <w:sz w:val="23"/>
          <w:szCs w:val="23"/>
        </w:rPr>
        <w:t>Benabou</w:t>
      </w:r>
      <w:proofErr w:type="spellEnd"/>
      <w:r w:rsidR="00117AD4" w:rsidRPr="00BC22F7">
        <w:rPr>
          <w:rFonts w:ascii="Tahoma" w:hAnsi="Tahoma" w:cs="Tahoma"/>
          <w:sz w:val="23"/>
          <w:szCs w:val="23"/>
        </w:rPr>
        <w:t xml:space="preserve"> &amp; </w:t>
      </w:r>
      <w:proofErr w:type="spellStart"/>
      <w:r w:rsidR="00117AD4" w:rsidRPr="00BC22F7">
        <w:rPr>
          <w:rFonts w:ascii="Tahoma" w:hAnsi="Tahoma" w:cs="Tahoma"/>
          <w:sz w:val="23"/>
          <w:szCs w:val="23"/>
        </w:rPr>
        <w:t>Tirole</w:t>
      </w:r>
      <w:proofErr w:type="spellEnd"/>
      <w:r w:rsidR="00117AD4" w:rsidRPr="00BC22F7">
        <w:rPr>
          <w:rFonts w:ascii="Tahoma" w:hAnsi="Tahoma" w:cs="Tahoma"/>
          <w:sz w:val="23"/>
          <w:szCs w:val="23"/>
        </w:rPr>
        <w:t xml:space="preserve">, 2006; </w:t>
      </w:r>
      <w:proofErr w:type="spellStart"/>
      <w:r w:rsidR="00117AD4" w:rsidRPr="00BC22F7">
        <w:rPr>
          <w:rFonts w:ascii="Tahoma" w:hAnsi="Tahoma" w:cs="Tahoma"/>
          <w:sz w:val="23"/>
          <w:szCs w:val="23"/>
        </w:rPr>
        <w:t>Mellstrome</w:t>
      </w:r>
      <w:proofErr w:type="spellEnd"/>
      <w:r w:rsidR="00117AD4" w:rsidRPr="00BC22F7">
        <w:rPr>
          <w:rFonts w:ascii="Tahoma" w:hAnsi="Tahoma" w:cs="Tahoma"/>
          <w:sz w:val="23"/>
          <w:szCs w:val="23"/>
        </w:rPr>
        <w:t xml:space="preserve"> &amp; </w:t>
      </w:r>
      <w:proofErr w:type="spellStart"/>
      <w:r w:rsidR="00117AD4" w:rsidRPr="00BC22F7">
        <w:rPr>
          <w:rFonts w:ascii="Tahoma" w:hAnsi="Tahoma" w:cs="Tahoma"/>
          <w:sz w:val="23"/>
          <w:szCs w:val="23"/>
        </w:rPr>
        <w:t>Johannesson</w:t>
      </w:r>
      <w:proofErr w:type="spellEnd"/>
      <w:r w:rsidR="00117AD4" w:rsidRPr="00BC22F7">
        <w:rPr>
          <w:rFonts w:ascii="Tahoma" w:hAnsi="Tahoma" w:cs="Tahoma"/>
          <w:sz w:val="23"/>
          <w:szCs w:val="23"/>
        </w:rPr>
        <w:t xml:space="preserve">, 2008). </w:t>
      </w:r>
      <w:r w:rsidR="00C66210" w:rsidRPr="00BC22F7">
        <w:rPr>
          <w:rFonts w:ascii="Tahoma" w:hAnsi="Tahoma" w:cs="Tahoma"/>
          <w:sz w:val="23"/>
          <w:szCs w:val="23"/>
        </w:rPr>
        <w:t>In this regard</w:t>
      </w:r>
      <w:r w:rsidR="008E3A3B" w:rsidRPr="00BC22F7">
        <w:rPr>
          <w:rFonts w:ascii="Tahoma" w:hAnsi="Tahoma" w:cs="Tahoma"/>
          <w:sz w:val="23"/>
          <w:szCs w:val="23"/>
        </w:rPr>
        <w:t>, s</w:t>
      </w:r>
      <w:r w:rsidR="00117AD4" w:rsidRPr="00BC22F7">
        <w:rPr>
          <w:rFonts w:ascii="Tahoma" w:hAnsi="Tahoma" w:cs="Tahoma"/>
          <w:sz w:val="23"/>
          <w:szCs w:val="23"/>
        </w:rPr>
        <w:t>ince the public se</w:t>
      </w:r>
      <w:r w:rsidRPr="00BC22F7">
        <w:rPr>
          <w:rFonts w:ascii="Tahoma" w:hAnsi="Tahoma" w:cs="Tahoma"/>
          <w:sz w:val="23"/>
          <w:szCs w:val="23"/>
        </w:rPr>
        <w:t>ctor</w:t>
      </w:r>
      <w:r w:rsidR="00117AD4" w:rsidRPr="00BC22F7">
        <w:rPr>
          <w:rFonts w:ascii="Tahoma" w:hAnsi="Tahoma" w:cs="Tahoma"/>
          <w:sz w:val="23"/>
          <w:szCs w:val="23"/>
        </w:rPr>
        <w:t xml:space="preserve"> may </w:t>
      </w:r>
      <w:r w:rsidR="008E3A3B" w:rsidRPr="00BC22F7">
        <w:rPr>
          <w:rFonts w:ascii="Tahoma" w:hAnsi="Tahoma" w:cs="Tahoma"/>
          <w:sz w:val="23"/>
          <w:szCs w:val="23"/>
        </w:rPr>
        <w:t xml:space="preserve">generally </w:t>
      </w:r>
      <w:r w:rsidR="00117AD4" w:rsidRPr="00BC22F7">
        <w:rPr>
          <w:rFonts w:ascii="Tahoma" w:hAnsi="Tahoma" w:cs="Tahoma"/>
          <w:sz w:val="23"/>
          <w:szCs w:val="23"/>
        </w:rPr>
        <w:t>be seen as limiting their career opportunities, visible minorities may instead opt for private sector careers.</w:t>
      </w:r>
      <w:r w:rsidR="004E3518" w:rsidRPr="00BC22F7">
        <w:rPr>
          <w:rFonts w:ascii="Tahoma" w:hAnsi="Tahoma" w:cs="Tahoma"/>
          <w:sz w:val="23"/>
          <w:szCs w:val="23"/>
        </w:rPr>
        <w:t xml:space="preserve"> </w:t>
      </w:r>
      <w:r w:rsidR="008E3A3B" w:rsidRPr="00BC22F7">
        <w:rPr>
          <w:rFonts w:ascii="Tahoma" w:hAnsi="Tahoma" w:cs="Tahoma"/>
          <w:sz w:val="23"/>
          <w:szCs w:val="23"/>
        </w:rPr>
        <w:t>This perception may be compounded by the fact that visible minorities who are recent immigrants may have a negative image of the government in general.</w:t>
      </w:r>
      <w:r w:rsidR="00D2682F" w:rsidRPr="00BC22F7">
        <w:rPr>
          <w:rFonts w:ascii="Tahoma" w:hAnsi="Tahoma" w:cs="Tahoma"/>
          <w:sz w:val="23"/>
          <w:szCs w:val="23"/>
        </w:rPr>
        <w:t xml:space="preserve"> </w:t>
      </w:r>
      <w:r w:rsidR="00C66210" w:rsidRPr="00BC22F7">
        <w:rPr>
          <w:rFonts w:ascii="Tahoma" w:hAnsi="Tahoma" w:cs="Tahoma"/>
          <w:sz w:val="23"/>
          <w:szCs w:val="23"/>
        </w:rPr>
        <w:t>For example</w:t>
      </w:r>
      <w:r w:rsidR="00D56323" w:rsidRPr="00BC22F7">
        <w:rPr>
          <w:rFonts w:ascii="Tahoma" w:hAnsi="Tahoma" w:cs="Tahoma"/>
          <w:sz w:val="23"/>
          <w:szCs w:val="23"/>
        </w:rPr>
        <w:t>, m</w:t>
      </w:r>
      <w:r w:rsidR="00AC40C1" w:rsidRPr="00BC22F7">
        <w:rPr>
          <w:rFonts w:ascii="Tahoma" w:hAnsi="Tahoma" w:cs="Tahoma"/>
          <w:sz w:val="23"/>
          <w:szCs w:val="23"/>
        </w:rPr>
        <w:t>any visible minorities who are from the third world immigrated to Canada to escape political persecution and government corruption, and thus have little faith and trust in government (</w:t>
      </w:r>
      <w:proofErr w:type="spellStart"/>
      <w:r w:rsidR="005A492E" w:rsidRPr="00BC22F7">
        <w:rPr>
          <w:rFonts w:ascii="Tahoma" w:hAnsi="Tahoma" w:cs="Tahoma"/>
          <w:sz w:val="23"/>
          <w:szCs w:val="23"/>
        </w:rPr>
        <w:t>Patrias</w:t>
      </w:r>
      <w:proofErr w:type="spellEnd"/>
      <w:r w:rsidR="005A492E" w:rsidRPr="00BC22F7">
        <w:rPr>
          <w:rFonts w:ascii="Tahoma" w:hAnsi="Tahoma" w:cs="Tahoma"/>
          <w:sz w:val="23"/>
          <w:szCs w:val="23"/>
        </w:rPr>
        <w:t xml:space="preserve"> &amp; </w:t>
      </w:r>
      <w:proofErr w:type="spellStart"/>
      <w:r w:rsidR="005A492E" w:rsidRPr="00BC22F7">
        <w:rPr>
          <w:rFonts w:ascii="Tahoma" w:hAnsi="Tahoma" w:cs="Tahoma"/>
          <w:sz w:val="23"/>
          <w:szCs w:val="23"/>
        </w:rPr>
        <w:t>Frager</w:t>
      </w:r>
      <w:proofErr w:type="spellEnd"/>
      <w:r w:rsidR="005A492E" w:rsidRPr="00BC22F7">
        <w:rPr>
          <w:rFonts w:ascii="Tahoma" w:hAnsi="Tahoma" w:cs="Tahoma"/>
          <w:sz w:val="23"/>
          <w:szCs w:val="23"/>
        </w:rPr>
        <w:t>, 2001; Wayland, 2003)</w:t>
      </w:r>
      <w:r w:rsidR="00AC40C1" w:rsidRPr="00BC22F7">
        <w:rPr>
          <w:rFonts w:ascii="Tahoma" w:hAnsi="Tahoma" w:cs="Tahoma"/>
          <w:sz w:val="23"/>
          <w:szCs w:val="23"/>
        </w:rPr>
        <w:t xml:space="preserve">. </w:t>
      </w:r>
      <w:r w:rsidR="00CD1489" w:rsidRPr="00BC22F7">
        <w:rPr>
          <w:rFonts w:ascii="Tahoma" w:hAnsi="Tahoma" w:cs="Tahoma"/>
          <w:sz w:val="23"/>
          <w:szCs w:val="23"/>
        </w:rPr>
        <w:t xml:space="preserve">This </w:t>
      </w:r>
      <w:r w:rsidR="0062203D" w:rsidRPr="00BC22F7">
        <w:rPr>
          <w:rFonts w:ascii="Tahoma" w:hAnsi="Tahoma" w:cs="Tahoma"/>
          <w:sz w:val="23"/>
          <w:szCs w:val="23"/>
        </w:rPr>
        <w:t>more skeptical</w:t>
      </w:r>
      <w:r w:rsidR="00CD1489" w:rsidRPr="00BC22F7">
        <w:rPr>
          <w:rFonts w:ascii="Tahoma" w:hAnsi="Tahoma" w:cs="Tahoma"/>
          <w:sz w:val="23"/>
          <w:szCs w:val="23"/>
        </w:rPr>
        <w:t xml:space="preserve"> view </w:t>
      </w:r>
      <w:r w:rsidR="0062203D" w:rsidRPr="00BC22F7">
        <w:rPr>
          <w:rFonts w:ascii="Tahoma" w:hAnsi="Tahoma" w:cs="Tahoma"/>
          <w:sz w:val="23"/>
          <w:szCs w:val="23"/>
        </w:rPr>
        <w:t xml:space="preserve">derived from their previous experiences </w:t>
      </w:r>
      <w:r w:rsidR="00CD1489" w:rsidRPr="00BC22F7">
        <w:rPr>
          <w:rFonts w:ascii="Tahoma" w:hAnsi="Tahoma" w:cs="Tahoma"/>
          <w:sz w:val="23"/>
          <w:szCs w:val="23"/>
        </w:rPr>
        <w:t xml:space="preserve">may </w:t>
      </w:r>
      <w:r w:rsidR="0062203D" w:rsidRPr="00BC22F7">
        <w:rPr>
          <w:rFonts w:ascii="Tahoma" w:hAnsi="Tahoma" w:cs="Tahoma"/>
          <w:sz w:val="23"/>
          <w:szCs w:val="23"/>
        </w:rPr>
        <w:t xml:space="preserve">contribute to potentially negative </w:t>
      </w:r>
      <w:r w:rsidR="00CD1489" w:rsidRPr="00BC22F7">
        <w:rPr>
          <w:rFonts w:ascii="Tahoma" w:hAnsi="Tahoma" w:cs="Tahoma"/>
          <w:sz w:val="23"/>
          <w:szCs w:val="23"/>
        </w:rPr>
        <w:t>perceptions of the desirability of public sector employment.</w:t>
      </w:r>
    </w:p>
    <w:p w:rsidR="00117AD4" w:rsidRPr="00BC22F7" w:rsidRDefault="00117AD4" w:rsidP="009864B4">
      <w:pPr>
        <w:spacing w:after="0" w:line="240" w:lineRule="auto"/>
        <w:rPr>
          <w:rFonts w:ascii="Tahoma" w:hAnsi="Tahoma" w:cs="Tahoma"/>
          <w:sz w:val="23"/>
          <w:szCs w:val="23"/>
        </w:rPr>
      </w:pPr>
    </w:p>
    <w:p w:rsidR="00DB2FFF" w:rsidRPr="00BC22F7" w:rsidRDefault="005E3F15">
      <w:pPr>
        <w:spacing w:after="0" w:line="240" w:lineRule="auto"/>
        <w:ind w:firstLine="720"/>
        <w:rPr>
          <w:rFonts w:ascii="Tahoma" w:hAnsi="Tahoma" w:cs="Tahoma"/>
          <w:sz w:val="23"/>
          <w:szCs w:val="23"/>
          <w:vertAlign w:val="subscript"/>
        </w:rPr>
      </w:pPr>
      <w:r w:rsidRPr="00BC22F7">
        <w:rPr>
          <w:rFonts w:ascii="Tahoma" w:hAnsi="Tahoma" w:cs="Tahoma"/>
          <w:sz w:val="23"/>
          <w:szCs w:val="23"/>
        </w:rPr>
        <w:t xml:space="preserve">Aboriginal peoples </w:t>
      </w:r>
      <w:r w:rsidR="00DD038D" w:rsidRPr="00BC22F7">
        <w:rPr>
          <w:rFonts w:ascii="Tahoma" w:hAnsi="Tahoma" w:cs="Tahoma"/>
          <w:sz w:val="23"/>
          <w:szCs w:val="23"/>
        </w:rPr>
        <w:t xml:space="preserve">did not </w:t>
      </w:r>
      <w:r w:rsidR="00781438" w:rsidRPr="00BC22F7">
        <w:rPr>
          <w:rFonts w:ascii="Tahoma" w:hAnsi="Tahoma" w:cs="Tahoma"/>
          <w:sz w:val="23"/>
          <w:szCs w:val="23"/>
        </w:rPr>
        <w:t xml:space="preserve">differ </w:t>
      </w:r>
      <w:r w:rsidR="00B63813" w:rsidRPr="00BC22F7">
        <w:rPr>
          <w:rFonts w:ascii="Tahoma" w:hAnsi="Tahoma" w:cs="Tahoma"/>
          <w:sz w:val="23"/>
          <w:szCs w:val="23"/>
        </w:rPr>
        <w:t xml:space="preserve">significantly </w:t>
      </w:r>
      <w:r w:rsidR="00781438" w:rsidRPr="00BC22F7">
        <w:rPr>
          <w:rFonts w:ascii="Tahoma" w:hAnsi="Tahoma" w:cs="Tahoma"/>
          <w:sz w:val="23"/>
          <w:szCs w:val="23"/>
        </w:rPr>
        <w:t xml:space="preserve">from non-Aboriginals </w:t>
      </w:r>
      <w:r w:rsidR="005538EE" w:rsidRPr="00BC22F7">
        <w:rPr>
          <w:rFonts w:ascii="Tahoma" w:hAnsi="Tahoma" w:cs="Tahoma"/>
          <w:sz w:val="23"/>
          <w:szCs w:val="23"/>
        </w:rPr>
        <w:t xml:space="preserve">with respect to their </w:t>
      </w:r>
      <w:r w:rsidR="00DD038D" w:rsidRPr="00BC22F7">
        <w:rPr>
          <w:rFonts w:ascii="Tahoma" w:hAnsi="Tahoma" w:cs="Tahoma"/>
          <w:sz w:val="23"/>
          <w:szCs w:val="23"/>
        </w:rPr>
        <w:t xml:space="preserve">work values, </w:t>
      </w:r>
      <w:r w:rsidR="00B63813" w:rsidRPr="00BC22F7">
        <w:rPr>
          <w:rFonts w:ascii="Tahoma" w:hAnsi="Tahoma" w:cs="Tahoma"/>
          <w:sz w:val="23"/>
          <w:szCs w:val="23"/>
        </w:rPr>
        <w:t xml:space="preserve">except for </w:t>
      </w:r>
      <w:r w:rsidR="00CD1489" w:rsidRPr="00BC22F7">
        <w:rPr>
          <w:rFonts w:ascii="Tahoma" w:hAnsi="Tahoma" w:cs="Tahoma"/>
          <w:sz w:val="23"/>
          <w:szCs w:val="23"/>
        </w:rPr>
        <w:t xml:space="preserve">on the dimensions of </w:t>
      </w:r>
      <w:r w:rsidR="00781438" w:rsidRPr="00BC22F7">
        <w:rPr>
          <w:rFonts w:ascii="Tahoma" w:hAnsi="Tahoma" w:cs="Tahoma"/>
          <w:sz w:val="23"/>
          <w:szCs w:val="23"/>
        </w:rPr>
        <w:t xml:space="preserve">commitment to </w:t>
      </w:r>
      <w:r w:rsidR="00C66210" w:rsidRPr="00BC22F7">
        <w:rPr>
          <w:rFonts w:ascii="Tahoma" w:hAnsi="Tahoma" w:cs="Tahoma"/>
          <w:sz w:val="23"/>
          <w:szCs w:val="23"/>
        </w:rPr>
        <w:t xml:space="preserve">diversity and </w:t>
      </w:r>
      <w:r w:rsidR="00CD1489" w:rsidRPr="00BC22F7">
        <w:rPr>
          <w:rFonts w:ascii="Tahoma" w:hAnsi="Tahoma" w:cs="Tahoma"/>
          <w:sz w:val="23"/>
          <w:szCs w:val="23"/>
        </w:rPr>
        <w:t xml:space="preserve">commitment to </w:t>
      </w:r>
      <w:r w:rsidR="00781438" w:rsidRPr="00BC22F7">
        <w:rPr>
          <w:rFonts w:ascii="Tahoma" w:hAnsi="Tahoma" w:cs="Tahoma"/>
          <w:sz w:val="23"/>
          <w:szCs w:val="23"/>
        </w:rPr>
        <w:t xml:space="preserve">social responsibility. </w:t>
      </w:r>
      <w:r w:rsidR="00DD038D" w:rsidRPr="00BC22F7">
        <w:rPr>
          <w:rFonts w:ascii="Tahoma" w:hAnsi="Tahoma" w:cs="Tahoma"/>
          <w:sz w:val="23"/>
          <w:szCs w:val="23"/>
        </w:rPr>
        <w:t>As Aboriginal peoples face higher unemployment rates than non-Aboriginals in Canada, issues related to livelihood and preservation of culture are central to the Aboriginal community (Kendall, 2001). More recently, issues concerning oil and gas</w:t>
      </w:r>
      <w:r w:rsidR="00513701" w:rsidRPr="00BC22F7">
        <w:rPr>
          <w:rFonts w:ascii="Tahoma" w:hAnsi="Tahoma" w:cs="Tahoma"/>
          <w:sz w:val="23"/>
          <w:szCs w:val="23"/>
        </w:rPr>
        <w:t>, land</w:t>
      </w:r>
      <w:r w:rsidR="004E3518" w:rsidRPr="00BC22F7">
        <w:rPr>
          <w:rFonts w:ascii="Tahoma" w:hAnsi="Tahoma" w:cs="Tahoma"/>
          <w:sz w:val="23"/>
          <w:szCs w:val="23"/>
        </w:rPr>
        <w:t xml:space="preserve"> claims</w:t>
      </w:r>
      <w:r w:rsidR="00513701" w:rsidRPr="00BC22F7">
        <w:rPr>
          <w:rFonts w:ascii="Tahoma" w:hAnsi="Tahoma" w:cs="Tahoma"/>
          <w:sz w:val="23"/>
          <w:szCs w:val="23"/>
        </w:rPr>
        <w:t>, and the environment</w:t>
      </w:r>
      <w:r w:rsidR="00DD038D" w:rsidRPr="00BC22F7">
        <w:rPr>
          <w:rFonts w:ascii="Tahoma" w:hAnsi="Tahoma" w:cs="Tahoma"/>
          <w:sz w:val="23"/>
          <w:szCs w:val="23"/>
        </w:rPr>
        <w:t xml:space="preserve"> have also dominated the dialogue between Aboriginals and the </w:t>
      </w:r>
      <w:r w:rsidR="004E3518" w:rsidRPr="00BC22F7">
        <w:rPr>
          <w:rFonts w:ascii="Tahoma" w:hAnsi="Tahoma" w:cs="Tahoma"/>
          <w:sz w:val="23"/>
          <w:szCs w:val="23"/>
        </w:rPr>
        <w:t xml:space="preserve">Canadian </w:t>
      </w:r>
      <w:r w:rsidR="00DD038D" w:rsidRPr="00BC22F7">
        <w:rPr>
          <w:rFonts w:ascii="Tahoma" w:hAnsi="Tahoma" w:cs="Tahoma"/>
          <w:sz w:val="23"/>
          <w:szCs w:val="23"/>
        </w:rPr>
        <w:t>government</w:t>
      </w:r>
      <w:r w:rsidR="00513701" w:rsidRPr="00BC22F7">
        <w:rPr>
          <w:rFonts w:ascii="Tahoma" w:hAnsi="Tahoma" w:cs="Tahoma"/>
          <w:sz w:val="23"/>
          <w:szCs w:val="23"/>
        </w:rPr>
        <w:t xml:space="preserve"> (</w:t>
      </w:r>
      <w:proofErr w:type="spellStart"/>
      <w:r w:rsidR="00513701" w:rsidRPr="00BC22F7">
        <w:rPr>
          <w:rFonts w:ascii="Tahoma" w:hAnsi="Tahoma" w:cs="Tahoma"/>
          <w:sz w:val="23"/>
          <w:szCs w:val="23"/>
        </w:rPr>
        <w:t>Fidler</w:t>
      </w:r>
      <w:proofErr w:type="spellEnd"/>
      <w:r w:rsidR="00513701" w:rsidRPr="00BC22F7">
        <w:rPr>
          <w:rFonts w:ascii="Tahoma" w:hAnsi="Tahoma" w:cs="Tahoma"/>
          <w:sz w:val="23"/>
          <w:szCs w:val="23"/>
        </w:rPr>
        <w:t>, 2010)</w:t>
      </w:r>
      <w:r w:rsidR="00DD038D" w:rsidRPr="00BC22F7">
        <w:rPr>
          <w:rFonts w:ascii="Tahoma" w:hAnsi="Tahoma" w:cs="Tahoma"/>
          <w:sz w:val="23"/>
          <w:szCs w:val="23"/>
        </w:rPr>
        <w:t xml:space="preserve">. Therefore it should come as no surprise that </w:t>
      </w:r>
      <w:r w:rsidR="00513701" w:rsidRPr="00BC22F7">
        <w:rPr>
          <w:rFonts w:ascii="Tahoma" w:hAnsi="Tahoma" w:cs="Tahoma"/>
          <w:sz w:val="23"/>
          <w:szCs w:val="23"/>
        </w:rPr>
        <w:t xml:space="preserve">social responsibility is </w:t>
      </w:r>
      <w:r w:rsidR="00B63813" w:rsidRPr="00BC22F7">
        <w:rPr>
          <w:rFonts w:ascii="Tahoma" w:hAnsi="Tahoma" w:cs="Tahoma"/>
          <w:sz w:val="23"/>
          <w:szCs w:val="23"/>
        </w:rPr>
        <w:t xml:space="preserve">a central concern to </w:t>
      </w:r>
      <w:r w:rsidR="00513701" w:rsidRPr="00BC22F7">
        <w:rPr>
          <w:rFonts w:ascii="Tahoma" w:hAnsi="Tahoma" w:cs="Tahoma"/>
          <w:sz w:val="23"/>
          <w:szCs w:val="23"/>
        </w:rPr>
        <w:t>Aboriginal respondents</w:t>
      </w:r>
      <w:r w:rsidR="00CD1489" w:rsidRPr="00BC22F7">
        <w:rPr>
          <w:rFonts w:ascii="Tahoma" w:hAnsi="Tahoma" w:cs="Tahoma"/>
          <w:sz w:val="23"/>
          <w:szCs w:val="23"/>
        </w:rPr>
        <w:t>.</w:t>
      </w:r>
      <w:r w:rsidR="008B7FAB" w:rsidRPr="00BC22F7">
        <w:rPr>
          <w:rFonts w:ascii="Tahoma" w:hAnsi="Tahoma" w:cs="Tahoma"/>
          <w:sz w:val="23"/>
          <w:szCs w:val="23"/>
        </w:rPr>
        <w:t xml:space="preserve"> </w:t>
      </w:r>
      <w:r w:rsidR="00CD1489" w:rsidRPr="00BC22F7">
        <w:rPr>
          <w:rFonts w:ascii="Tahoma" w:hAnsi="Tahoma" w:cs="Tahoma"/>
          <w:sz w:val="23"/>
          <w:szCs w:val="23"/>
        </w:rPr>
        <w:t>Furthermore</w:t>
      </w:r>
      <w:r w:rsidR="004448C2" w:rsidRPr="00BC22F7">
        <w:rPr>
          <w:rFonts w:ascii="Tahoma" w:hAnsi="Tahoma" w:cs="Tahoma"/>
          <w:sz w:val="23"/>
          <w:szCs w:val="23"/>
        </w:rPr>
        <w:t xml:space="preserve">, </w:t>
      </w:r>
      <w:r w:rsidR="00513701" w:rsidRPr="00BC22F7">
        <w:rPr>
          <w:rFonts w:ascii="Tahoma" w:hAnsi="Tahoma" w:cs="Tahoma"/>
          <w:sz w:val="23"/>
          <w:szCs w:val="23"/>
        </w:rPr>
        <w:t xml:space="preserve">Aboriginal peoples may be attracted to </w:t>
      </w:r>
      <w:r w:rsidR="00B63813" w:rsidRPr="00BC22F7">
        <w:rPr>
          <w:rFonts w:ascii="Tahoma" w:hAnsi="Tahoma" w:cs="Tahoma"/>
          <w:sz w:val="23"/>
          <w:szCs w:val="23"/>
        </w:rPr>
        <w:t xml:space="preserve">public service and </w:t>
      </w:r>
      <w:r w:rsidR="00513701" w:rsidRPr="00BC22F7">
        <w:rPr>
          <w:rFonts w:ascii="Tahoma" w:hAnsi="Tahoma" w:cs="Tahoma"/>
          <w:sz w:val="23"/>
          <w:szCs w:val="23"/>
        </w:rPr>
        <w:t xml:space="preserve">policy making </w:t>
      </w:r>
      <w:r w:rsidR="004448C2" w:rsidRPr="00BC22F7">
        <w:rPr>
          <w:rFonts w:ascii="Tahoma" w:hAnsi="Tahoma" w:cs="Tahoma"/>
          <w:sz w:val="23"/>
          <w:szCs w:val="23"/>
        </w:rPr>
        <w:t>to improve</w:t>
      </w:r>
      <w:r w:rsidR="00513701" w:rsidRPr="00BC22F7">
        <w:rPr>
          <w:rFonts w:ascii="Tahoma" w:hAnsi="Tahoma" w:cs="Tahoma"/>
          <w:sz w:val="23"/>
          <w:szCs w:val="23"/>
        </w:rPr>
        <w:t xml:space="preserve"> the welfare of the Aboriginal community</w:t>
      </w:r>
      <w:r w:rsidR="00B63813" w:rsidRPr="00BC22F7">
        <w:rPr>
          <w:rFonts w:ascii="Tahoma" w:hAnsi="Tahoma" w:cs="Tahoma"/>
          <w:sz w:val="23"/>
          <w:szCs w:val="23"/>
        </w:rPr>
        <w:t xml:space="preserve"> and </w:t>
      </w:r>
      <w:r w:rsidR="00CD1489" w:rsidRPr="00BC22F7">
        <w:rPr>
          <w:rFonts w:ascii="Tahoma" w:hAnsi="Tahoma" w:cs="Tahoma"/>
          <w:sz w:val="23"/>
          <w:szCs w:val="23"/>
        </w:rPr>
        <w:t xml:space="preserve">to extend </w:t>
      </w:r>
      <w:r w:rsidR="004448C2" w:rsidRPr="00BC22F7">
        <w:rPr>
          <w:rFonts w:ascii="Tahoma" w:hAnsi="Tahoma" w:cs="Tahoma"/>
          <w:sz w:val="23"/>
          <w:szCs w:val="23"/>
        </w:rPr>
        <w:t>the</w:t>
      </w:r>
      <w:r w:rsidR="00CD1489" w:rsidRPr="00BC22F7">
        <w:rPr>
          <w:rFonts w:ascii="Tahoma" w:hAnsi="Tahoma" w:cs="Tahoma"/>
          <w:sz w:val="23"/>
          <w:szCs w:val="23"/>
        </w:rPr>
        <w:t>ir</w:t>
      </w:r>
      <w:r w:rsidR="004448C2" w:rsidRPr="00BC22F7">
        <w:rPr>
          <w:rFonts w:ascii="Tahoma" w:hAnsi="Tahoma" w:cs="Tahoma"/>
          <w:sz w:val="23"/>
          <w:szCs w:val="23"/>
        </w:rPr>
        <w:t xml:space="preserve"> right to </w:t>
      </w:r>
      <w:r w:rsidR="00B63813" w:rsidRPr="00BC22F7">
        <w:rPr>
          <w:rFonts w:ascii="Tahoma" w:hAnsi="Tahoma" w:cs="Tahoma"/>
          <w:sz w:val="23"/>
          <w:szCs w:val="23"/>
        </w:rPr>
        <w:t>self-determination</w:t>
      </w:r>
      <w:r w:rsidR="004448C2" w:rsidRPr="00BC22F7">
        <w:rPr>
          <w:rFonts w:ascii="Tahoma" w:hAnsi="Tahoma" w:cs="Tahoma"/>
          <w:sz w:val="23"/>
          <w:szCs w:val="23"/>
        </w:rPr>
        <w:t>.</w:t>
      </w:r>
      <w:r w:rsidR="00B63813" w:rsidRPr="00BC22F7">
        <w:rPr>
          <w:rFonts w:ascii="Tahoma" w:hAnsi="Tahoma" w:cs="Tahoma"/>
          <w:sz w:val="23"/>
          <w:szCs w:val="23"/>
        </w:rPr>
        <w:t xml:space="preserve"> </w:t>
      </w:r>
    </w:p>
    <w:p w:rsidR="005E3F15" w:rsidRPr="00BC22F7" w:rsidRDefault="005E3F15" w:rsidP="00B9229A">
      <w:pPr>
        <w:spacing w:after="0" w:line="240" w:lineRule="auto"/>
        <w:rPr>
          <w:rFonts w:ascii="Tahoma" w:hAnsi="Tahoma" w:cs="Tahoma"/>
          <w:sz w:val="23"/>
          <w:szCs w:val="23"/>
        </w:rPr>
      </w:pPr>
    </w:p>
    <w:p w:rsidR="00DB2FFF" w:rsidRPr="00BC22F7" w:rsidRDefault="00CD1489">
      <w:pPr>
        <w:spacing w:after="0" w:line="240" w:lineRule="auto"/>
        <w:ind w:firstLine="720"/>
        <w:rPr>
          <w:rFonts w:ascii="Tahoma" w:hAnsi="Tahoma" w:cs="Tahoma"/>
          <w:sz w:val="23"/>
          <w:szCs w:val="23"/>
        </w:rPr>
      </w:pPr>
      <w:r w:rsidRPr="00BC22F7">
        <w:rPr>
          <w:rFonts w:ascii="Tahoma" w:hAnsi="Tahoma" w:cs="Tahoma"/>
          <w:sz w:val="23"/>
          <w:szCs w:val="23"/>
        </w:rPr>
        <w:t>As with Aboriginal peoples</w:t>
      </w:r>
      <w:r w:rsidR="00B63813" w:rsidRPr="00BC22F7">
        <w:rPr>
          <w:rFonts w:ascii="Tahoma" w:hAnsi="Tahoma" w:cs="Tahoma"/>
          <w:sz w:val="23"/>
          <w:szCs w:val="23"/>
        </w:rPr>
        <w:t>, persons with disabilities did not differ</w:t>
      </w:r>
      <w:r w:rsidRPr="00BC22F7">
        <w:rPr>
          <w:rFonts w:ascii="Tahoma" w:hAnsi="Tahoma" w:cs="Tahoma"/>
          <w:sz w:val="23"/>
          <w:szCs w:val="23"/>
        </w:rPr>
        <w:t xml:space="preserve"> substantially</w:t>
      </w:r>
      <w:r w:rsidR="00B63813" w:rsidRPr="00BC22F7">
        <w:rPr>
          <w:rFonts w:ascii="Tahoma" w:hAnsi="Tahoma" w:cs="Tahoma"/>
          <w:sz w:val="23"/>
          <w:szCs w:val="23"/>
        </w:rPr>
        <w:t xml:space="preserve"> from non-disabled persons</w:t>
      </w:r>
      <w:r w:rsidRPr="00BC22F7">
        <w:rPr>
          <w:rFonts w:ascii="Tahoma" w:hAnsi="Tahoma" w:cs="Tahoma"/>
          <w:sz w:val="23"/>
          <w:szCs w:val="23"/>
        </w:rPr>
        <w:t xml:space="preserve"> with respect to their work values</w:t>
      </w:r>
      <w:r w:rsidR="00B63813" w:rsidRPr="00BC22F7">
        <w:rPr>
          <w:rFonts w:ascii="Tahoma" w:hAnsi="Tahoma" w:cs="Tahoma"/>
          <w:sz w:val="23"/>
          <w:szCs w:val="23"/>
        </w:rPr>
        <w:t xml:space="preserve">, except for </w:t>
      </w:r>
      <w:r w:rsidRPr="00BC22F7">
        <w:rPr>
          <w:rFonts w:ascii="Tahoma" w:hAnsi="Tahoma" w:cs="Tahoma"/>
          <w:sz w:val="23"/>
          <w:szCs w:val="23"/>
        </w:rPr>
        <w:t xml:space="preserve">their values relating to an employer’s commitment to diversity and </w:t>
      </w:r>
      <w:r w:rsidR="00B63813" w:rsidRPr="00BC22F7">
        <w:rPr>
          <w:rFonts w:ascii="Tahoma" w:hAnsi="Tahoma" w:cs="Tahoma"/>
          <w:sz w:val="23"/>
          <w:szCs w:val="23"/>
        </w:rPr>
        <w:t>advancement</w:t>
      </w:r>
      <w:r w:rsidR="00860EF1" w:rsidRPr="00BC22F7">
        <w:rPr>
          <w:rFonts w:ascii="Tahoma" w:hAnsi="Tahoma" w:cs="Tahoma"/>
          <w:sz w:val="23"/>
          <w:szCs w:val="23"/>
        </w:rPr>
        <w:t xml:space="preserve"> opportunities</w:t>
      </w:r>
      <w:r w:rsidR="00B63813" w:rsidRPr="00BC22F7">
        <w:rPr>
          <w:rFonts w:ascii="Tahoma" w:hAnsi="Tahoma" w:cs="Tahoma"/>
          <w:sz w:val="23"/>
          <w:szCs w:val="23"/>
        </w:rPr>
        <w:t xml:space="preserve">. Disabled Canadians </w:t>
      </w:r>
      <w:r w:rsidR="001B01E8" w:rsidRPr="00BC22F7">
        <w:rPr>
          <w:rFonts w:ascii="Tahoma" w:hAnsi="Tahoma" w:cs="Tahoma"/>
          <w:sz w:val="23"/>
          <w:szCs w:val="23"/>
        </w:rPr>
        <w:t>may be</w:t>
      </w:r>
      <w:r w:rsidR="00B63813" w:rsidRPr="00BC22F7">
        <w:rPr>
          <w:rFonts w:ascii="Tahoma" w:hAnsi="Tahoma" w:cs="Tahoma"/>
          <w:sz w:val="23"/>
          <w:szCs w:val="23"/>
        </w:rPr>
        <w:t xml:space="preserve"> less likely to emphasize </w:t>
      </w:r>
      <w:r w:rsidR="004448C2" w:rsidRPr="00BC22F7">
        <w:rPr>
          <w:rFonts w:ascii="Tahoma" w:hAnsi="Tahoma" w:cs="Tahoma"/>
          <w:sz w:val="23"/>
          <w:szCs w:val="23"/>
        </w:rPr>
        <w:t xml:space="preserve">opportunities for </w:t>
      </w:r>
      <w:r w:rsidR="00B63813" w:rsidRPr="00BC22F7">
        <w:rPr>
          <w:rFonts w:ascii="Tahoma" w:hAnsi="Tahoma" w:cs="Tahoma"/>
          <w:sz w:val="23"/>
          <w:szCs w:val="23"/>
        </w:rPr>
        <w:t>advancement</w:t>
      </w:r>
      <w:r w:rsidR="005538EE" w:rsidRPr="00BC22F7">
        <w:rPr>
          <w:rFonts w:ascii="Tahoma" w:hAnsi="Tahoma" w:cs="Tahoma"/>
          <w:sz w:val="23"/>
          <w:szCs w:val="23"/>
        </w:rPr>
        <w:t xml:space="preserve"> because they </w:t>
      </w:r>
      <w:r w:rsidR="007C1B7D" w:rsidRPr="00BC22F7">
        <w:rPr>
          <w:rFonts w:ascii="Tahoma" w:hAnsi="Tahoma" w:cs="Tahoma"/>
          <w:sz w:val="23"/>
          <w:szCs w:val="23"/>
        </w:rPr>
        <w:t>are</w:t>
      </w:r>
      <w:r w:rsidR="004448C2" w:rsidRPr="00BC22F7">
        <w:rPr>
          <w:rFonts w:ascii="Tahoma" w:hAnsi="Tahoma" w:cs="Tahoma"/>
          <w:sz w:val="23"/>
          <w:szCs w:val="23"/>
        </w:rPr>
        <w:t xml:space="preserve"> </w:t>
      </w:r>
      <w:r w:rsidR="00860EF1" w:rsidRPr="00BC22F7">
        <w:rPr>
          <w:rFonts w:ascii="Tahoma" w:hAnsi="Tahoma" w:cs="Tahoma"/>
          <w:sz w:val="23"/>
          <w:szCs w:val="23"/>
        </w:rPr>
        <w:t xml:space="preserve">more likely to </w:t>
      </w:r>
      <w:r w:rsidR="004448C2" w:rsidRPr="00BC22F7">
        <w:rPr>
          <w:rFonts w:ascii="Tahoma" w:hAnsi="Tahoma" w:cs="Tahoma"/>
          <w:sz w:val="23"/>
          <w:szCs w:val="23"/>
        </w:rPr>
        <w:t>be engaged</w:t>
      </w:r>
      <w:r w:rsidR="00860EF1" w:rsidRPr="00BC22F7">
        <w:rPr>
          <w:rFonts w:ascii="Tahoma" w:hAnsi="Tahoma" w:cs="Tahoma"/>
          <w:sz w:val="23"/>
          <w:szCs w:val="23"/>
        </w:rPr>
        <w:t xml:space="preserve"> in temporary work, underemployed, unemployed</w:t>
      </w:r>
      <w:r w:rsidR="007C1B7D" w:rsidRPr="00BC22F7">
        <w:rPr>
          <w:rFonts w:ascii="Tahoma" w:hAnsi="Tahoma" w:cs="Tahoma"/>
          <w:sz w:val="23"/>
          <w:szCs w:val="23"/>
        </w:rPr>
        <w:t>,</w:t>
      </w:r>
      <w:r w:rsidR="00860EF1" w:rsidRPr="00BC22F7">
        <w:rPr>
          <w:rFonts w:ascii="Tahoma" w:hAnsi="Tahoma" w:cs="Tahoma"/>
          <w:sz w:val="23"/>
          <w:szCs w:val="23"/>
        </w:rPr>
        <w:t xml:space="preserve"> or not participate in the labour market altogether (Konrad, Moore, Ng, Doherty, &amp; Breward, in press)</w:t>
      </w:r>
      <w:r w:rsidR="005538EE" w:rsidRPr="00BC22F7">
        <w:rPr>
          <w:rFonts w:ascii="Tahoma" w:hAnsi="Tahoma" w:cs="Tahoma"/>
          <w:sz w:val="23"/>
          <w:szCs w:val="23"/>
        </w:rPr>
        <w:t xml:space="preserve">. </w:t>
      </w:r>
      <w:r w:rsidR="00BF267C" w:rsidRPr="00BC22F7">
        <w:rPr>
          <w:rFonts w:ascii="Tahoma" w:hAnsi="Tahoma" w:cs="Tahoma"/>
          <w:sz w:val="23"/>
          <w:szCs w:val="23"/>
        </w:rPr>
        <w:t xml:space="preserve">Issues of accessibility </w:t>
      </w:r>
      <w:r w:rsidRPr="00BC22F7">
        <w:rPr>
          <w:rFonts w:ascii="Tahoma" w:hAnsi="Tahoma" w:cs="Tahoma"/>
          <w:sz w:val="23"/>
          <w:szCs w:val="23"/>
        </w:rPr>
        <w:t>are</w:t>
      </w:r>
      <w:r w:rsidR="00BF267C" w:rsidRPr="00BC22F7">
        <w:rPr>
          <w:rFonts w:ascii="Tahoma" w:hAnsi="Tahoma" w:cs="Tahoma"/>
          <w:sz w:val="23"/>
          <w:szCs w:val="23"/>
        </w:rPr>
        <w:t xml:space="preserve"> often a barrier </w:t>
      </w:r>
      <w:r w:rsidR="00E75B0A" w:rsidRPr="00BC22F7">
        <w:rPr>
          <w:rFonts w:ascii="Tahoma" w:hAnsi="Tahoma" w:cs="Tahoma"/>
          <w:sz w:val="23"/>
          <w:szCs w:val="23"/>
        </w:rPr>
        <w:t xml:space="preserve">to </w:t>
      </w:r>
      <w:r w:rsidR="00BF267C" w:rsidRPr="00BC22F7">
        <w:rPr>
          <w:rFonts w:ascii="Tahoma" w:hAnsi="Tahoma" w:cs="Tahoma"/>
          <w:sz w:val="23"/>
          <w:szCs w:val="23"/>
        </w:rPr>
        <w:t xml:space="preserve">employment, and the Government of Canada may be seen as more accessible than </w:t>
      </w:r>
      <w:r w:rsidR="0008264C" w:rsidRPr="00BC22F7">
        <w:rPr>
          <w:rFonts w:ascii="Tahoma" w:hAnsi="Tahoma" w:cs="Tahoma"/>
          <w:sz w:val="23"/>
          <w:szCs w:val="23"/>
        </w:rPr>
        <w:t xml:space="preserve">the </w:t>
      </w:r>
      <w:r w:rsidR="00BF267C" w:rsidRPr="00BC22F7">
        <w:rPr>
          <w:rFonts w:ascii="Tahoma" w:hAnsi="Tahoma" w:cs="Tahoma"/>
          <w:sz w:val="23"/>
          <w:szCs w:val="23"/>
        </w:rPr>
        <w:t xml:space="preserve">private sector </w:t>
      </w:r>
      <w:r w:rsidR="00E75B0A" w:rsidRPr="00BC22F7">
        <w:rPr>
          <w:rFonts w:ascii="Tahoma" w:hAnsi="Tahoma" w:cs="Tahoma"/>
          <w:sz w:val="23"/>
          <w:szCs w:val="23"/>
        </w:rPr>
        <w:t xml:space="preserve">in </w:t>
      </w:r>
      <w:r w:rsidR="00BF267C" w:rsidRPr="00BC22F7">
        <w:rPr>
          <w:rFonts w:ascii="Tahoma" w:hAnsi="Tahoma" w:cs="Tahoma"/>
          <w:sz w:val="23"/>
          <w:szCs w:val="23"/>
        </w:rPr>
        <w:t>accommodat</w:t>
      </w:r>
      <w:r w:rsidR="00E75B0A" w:rsidRPr="00BC22F7">
        <w:rPr>
          <w:rFonts w:ascii="Tahoma" w:hAnsi="Tahoma" w:cs="Tahoma"/>
          <w:sz w:val="23"/>
          <w:szCs w:val="23"/>
        </w:rPr>
        <w:t xml:space="preserve">ing </w:t>
      </w:r>
      <w:r w:rsidR="00BF267C" w:rsidRPr="00BC22F7">
        <w:rPr>
          <w:rFonts w:ascii="Tahoma" w:hAnsi="Tahoma" w:cs="Tahoma"/>
          <w:sz w:val="23"/>
          <w:szCs w:val="23"/>
        </w:rPr>
        <w:t>workers with disabilities</w:t>
      </w:r>
      <w:r w:rsidR="0008264C" w:rsidRPr="00BC22F7">
        <w:rPr>
          <w:rFonts w:ascii="Tahoma" w:hAnsi="Tahoma" w:cs="Tahoma"/>
          <w:sz w:val="23"/>
          <w:szCs w:val="23"/>
        </w:rPr>
        <w:t>,</w:t>
      </w:r>
      <w:r w:rsidR="00BF267C" w:rsidRPr="00BC22F7">
        <w:rPr>
          <w:rFonts w:ascii="Tahoma" w:hAnsi="Tahoma" w:cs="Tahoma"/>
          <w:sz w:val="23"/>
          <w:szCs w:val="23"/>
        </w:rPr>
        <w:t xml:space="preserve"> </w:t>
      </w:r>
      <w:r w:rsidR="00E75B0A" w:rsidRPr="00BC22F7">
        <w:rPr>
          <w:rFonts w:ascii="Tahoma" w:hAnsi="Tahoma" w:cs="Tahoma"/>
          <w:sz w:val="23"/>
          <w:szCs w:val="23"/>
        </w:rPr>
        <w:t xml:space="preserve">given its mandate to serve the public </w:t>
      </w:r>
      <w:r w:rsidR="0062203D" w:rsidRPr="00BC22F7">
        <w:rPr>
          <w:rFonts w:ascii="Tahoma" w:hAnsi="Tahoma" w:cs="Tahoma"/>
          <w:sz w:val="23"/>
          <w:szCs w:val="23"/>
        </w:rPr>
        <w:t>and protect the rights of</w:t>
      </w:r>
      <w:r w:rsidR="007C1B7D" w:rsidRPr="00BC22F7">
        <w:rPr>
          <w:rFonts w:ascii="Tahoma" w:hAnsi="Tahoma" w:cs="Tahoma"/>
          <w:sz w:val="23"/>
          <w:szCs w:val="23"/>
        </w:rPr>
        <w:t xml:space="preserve"> citizens </w:t>
      </w:r>
      <w:r w:rsidR="00BF267C" w:rsidRPr="00BC22F7">
        <w:rPr>
          <w:rFonts w:ascii="Tahoma" w:hAnsi="Tahoma" w:cs="Tahoma"/>
          <w:sz w:val="23"/>
          <w:szCs w:val="23"/>
        </w:rPr>
        <w:t xml:space="preserve">(Atkins, 2006).  Alternatively, </w:t>
      </w:r>
      <w:r w:rsidR="00E75B0A" w:rsidRPr="00BC22F7">
        <w:rPr>
          <w:rFonts w:ascii="Tahoma" w:hAnsi="Tahoma" w:cs="Tahoma"/>
          <w:sz w:val="23"/>
          <w:szCs w:val="23"/>
        </w:rPr>
        <w:t xml:space="preserve">persons with disabilities may also see </w:t>
      </w:r>
      <w:r w:rsidR="00BF267C" w:rsidRPr="00BC22F7">
        <w:rPr>
          <w:rFonts w:ascii="Tahoma" w:hAnsi="Tahoma" w:cs="Tahoma"/>
          <w:sz w:val="23"/>
          <w:szCs w:val="23"/>
        </w:rPr>
        <w:t xml:space="preserve">career advancement as requiring </w:t>
      </w:r>
      <w:r w:rsidR="00E75B0A" w:rsidRPr="00BC22F7">
        <w:rPr>
          <w:rFonts w:ascii="Tahoma" w:hAnsi="Tahoma" w:cs="Tahoma"/>
          <w:sz w:val="23"/>
          <w:szCs w:val="23"/>
        </w:rPr>
        <w:t xml:space="preserve">long work hours and less flexible working conditions, and thus prefer </w:t>
      </w:r>
      <w:r w:rsidR="007C1B7D" w:rsidRPr="00BC22F7">
        <w:rPr>
          <w:rFonts w:ascii="Tahoma" w:hAnsi="Tahoma" w:cs="Tahoma"/>
          <w:sz w:val="23"/>
          <w:szCs w:val="23"/>
        </w:rPr>
        <w:t>public sector</w:t>
      </w:r>
      <w:r w:rsidR="00E75B0A" w:rsidRPr="00BC22F7">
        <w:rPr>
          <w:rFonts w:ascii="Tahoma" w:hAnsi="Tahoma" w:cs="Tahoma"/>
          <w:sz w:val="23"/>
          <w:szCs w:val="23"/>
        </w:rPr>
        <w:t xml:space="preserve"> employment</w:t>
      </w:r>
      <w:r w:rsidR="004448C2" w:rsidRPr="00BC22F7">
        <w:rPr>
          <w:rFonts w:ascii="Tahoma" w:hAnsi="Tahoma" w:cs="Tahoma"/>
          <w:sz w:val="23"/>
          <w:szCs w:val="23"/>
        </w:rPr>
        <w:t xml:space="preserve"> (Houston, 2000)</w:t>
      </w:r>
      <w:r w:rsidR="00E75B0A" w:rsidRPr="00BC22F7">
        <w:rPr>
          <w:rFonts w:ascii="Tahoma" w:hAnsi="Tahoma" w:cs="Tahoma"/>
          <w:sz w:val="23"/>
          <w:szCs w:val="23"/>
        </w:rPr>
        <w:t xml:space="preserve">. </w:t>
      </w:r>
    </w:p>
    <w:p w:rsidR="00117AD4" w:rsidRPr="00BC22F7" w:rsidRDefault="00117AD4" w:rsidP="00B9229A">
      <w:pPr>
        <w:spacing w:after="0" w:line="240" w:lineRule="auto"/>
        <w:rPr>
          <w:rFonts w:ascii="Tahoma" w:hAnsi="Tahoma" w:cs="Tahoma"/>
          <w:sz w:val="23"/>
          <w:szCs w:val="23"/>
        </w:rPr>
      </w:pPr>
    </w:p>
    <w:p w:rsidR="00DB2FFF" w:rsidRPr="00BC22F7" w:rsidRDefault="007C1B7D">
      <w:pPr>
        <w:spacing w:after="0" w:line="240" w:lineRule="auto"/>
        <w:ind w:firstLine="720"/>
        <w:rPr>
          <w:rFonts w:ascii="Tahoma" w:hAnsi="Tahoma" w:cs="Tahoma"/>
          <w:sz w:val="23"/>
          <w:szCs w:val="23"/>
        </w:rPr>
      </w:pPr>
      <w:r w:rsidRPr="00BC22F7">
        <w:rPr>
          <w:rFonts w:ascii="Tahoma" w:hAnsi="Tahoma" w:cs="Tahoma"/>
          <w:sz w:val="23"/>
          <w:szCs w:val="23"/>
        </w:rPr>
        <w:t>Lastly</w:t>
      </w:r>
      <w:r w:rsidR="00884DA9" w:rsidRPr="00BC22F7">
        <w:rPr>
          <w:rFonts w:ascii="Tahoma" w:hAnsi="Tahoma" w:cs="Tahoma"/>
          <w:sz w:val="23"/>
          <w:szCs w:val="23"/>
        </w:rPr>
        <w:t xml:space="preserve">, </w:t>
      </w:r>
      <w:r w:rsidR="0008264C" w:rsidRPr="00BC22F7">
        <w:rPr>
          <w:rFonts w:ascii="Tahoma" w:hAnsi="Tahoma" w:cs="Tahoma"/>
          <w:sz w:val="23"/>
          <w:szCs w:val="23"/>
        </w:rPr>
        <w:t xml:space="preserve">LGBT individuals rated commitment to social responsibility </w:t>
      </w:r>
      <w:r w:rsidR="00CD1489" w:rsidRPr="00BC22F7">
        <w:rPr>
          <w:rFonts w:ascii="Tahoma" w:hAnsi="Tahoma" w:cs="Tahoma"/>
          <w:sz w:val="23"/>
          <w:szCs w:val="23"/>
        </w:rPr>
        <w:t xml:space="preserve">and diversity </w:t>
      </w:r>
      <w:r w:rsidR="0008264C" w:rsidRPr="00BC22F7">
        <w:rPr>
          <w:rFonts w:ascii="Tahoma" w:hAnsi="Tahoma" w:cs="Tahoma"/>
          <w:sz w:val="23"/>
          <w:szCs w:val="23"/>
        </w:rPr>
        <w:t>more highly, and job security, leader in the field, and advancement opportunity less highly</w:t>
      </w:r>
      <w:r w:rsidR="005969E7" w:rsidRPr="00BC22F7">
        <w:rPr>
          <w:rFonts w:ascii="Tahoma" w:hAnsi="Tahoma" w:cs="Tahoma"/>
          <w:sz w:val="23"/>
          <w:szCs w:val="23"/>
        </w:rPr>
        <w:t xml:space="preserve"> than heterosexuals</w:t>
      </w:r>
      <w:r w:rsidR="0008264C" w:rsidRPr="00BC22F7">
        <w:rPr>
          <w:rFonts w:ascii="Tahoma" w:hAnsi="Tahoma" w:cs="Tahoma"/>
          <w:sz w:val="23"/>
          <w:szCs w:val="23"/>
        </w:rPr>
        <w:t xml:space="preserve">, </w:t>
      </w:r>
      <w:r w:rsidR="004448C2" w:rsidRPr="00BC22F7">
        <w:rPr>
          <w:rFonts w:ascii="Tahoma" w:hAnsi="Tahoma" w:cs="Tahoma"/>
          <w:sz w:val="23"/>
          <w:szCs w:val="23"/>
        </w:rPr>
        <w:t xml:space="preserve">indicating </w:t>
      </w:r>
      <w:r w:rsidR="0008264C" w:rsidRPr="00BC22F7">
        <w:rPr>
          <w:rFonts w:ascii="Tahoma" w:hAnsi="Tahoma" w:cs="Tahoma"/>
          <w:sz w:val="23"/>
          <w:szCs w:val="23"/>
        </w:rPr>
        <w:t xml:space="preserve">a strong public service </w:t>
      </w:r>
      <w:r w:rsidR="005969E7" w:rsidRPr="00BC22F7">
        <w:rPr>
          <w:rFonts w:ascii="Tahoma" w:hAnsi="Tahoma" w:cs="Tahoma"/>
          <w:sz w:val="23"/>
          <w:szCs w:val="23"/>
        </w:rPr>
        <w:t>orientation</w:t>
      </w:r>
      <w:r w:rsidR="0008264C" w:rsidRPr="00BC22F7">
        <w:rPr>
          <w:rFonts w:ascii="Tahoma" w:hAnsi="Tahoma" w:cs="Tahoma"/>
          <w:sz w:val="23"/>
          <w:szCs w:val="23"/>
        </w:rPr>
        <w:t xml:space="preserve">. </w:t>
      </w:r>
      <w:r w:rsidR="005969E7" w:rsidRPr="00BC22F7">
        <w:rPr>
          <w:rFonts w:ascii="Tahoma" w:hAnsi="Tahoma" w:cs="Tahoma"/>
          <w:sz w:val="23"/>
          <w:szCs w:val="23"/>
        </w:rPr>
        <w:t xml:space="preserve">Recent studies </w:t>
      </w:r>
      <w:r w:rsidR="007B01D3" w:rsidRPr="00BC22F7">
        <w:rPr>
          <w:rFonts w:ascii="Tahoma" w:hAnsi="Tahoma" w:cs="Tahoma"/>
          <w:sz w:val="23"/>
          <w:szCs w:val="23"/>
        </w:rPr>
        <w:t xml:space="preserve">(Lewis &amp; Pitts, 2011; Ng, Schweitzer, &amp; Lyons, 2012) </w:t>
      </w:r>
      <w:r w:rsidR="005969E7" w:rsidRPr="00BC22F7">
        <w:rPr>
          <w:rFonts w:ascii="Tahoma" w:hAnsi="Tahoma" w:cs="Tahoma"/>
          <w:sz w:val="23"/>
          <w:szCs w:val="23"/>
        </w:rPr>
        <w:t>have documented that</w:t>
      </w:r>
      <w:r w:rsidRPr="00BC22F7">
        <w:rPr>
          <w:rFonts w:ascii="Tahoma" w:hAnsi="Tahoma" w:cs="Tahoma"/>
          <w:sz w:val="23"/>
          <w:szCs w:val="23"/>
        </w:rPr>
        <w:t xml:space="preserve">, as a stigmatized group, </w:t>
      </w:r>
      <w:r w:rsidR="005969E7" w:rsidRPr="00BC22F7">
        <w:rPr>
          <w:rFonts w:ascii="Tahoma" w:hAnsi="Tahoma" w:cs="Tahoma"/>
          <w:sz w:val="23"/>
          <w:szCs w:val="23"/>
        </w:rPr>
        <w:t xml:space="preserve">LGBT </w:t>
      </w:r>
      <w:r w:rsidR="00D57731" w:rsidRPr="00BC22F7">
        <w:rPr>
          <w:rFonts w:ascii="Tahoma" w:hAnsi="Tahoma" w:cs="Tahoma"/>
          <w:sz w:val="23"/>
          <w:szCs w:val="23"/>
        </w:rPr>
        <w:t xml:space="preserve">individuals may </w:t>
      </w:r>
      <w:r w:rsidR="005969E7" w:rsidRPr="00BC22F7">
        <w:rPr>
          <w:rFonts w:ascii="Tahoma" w:hAnsi="Tahoma" w:cs="Tahoma"/>
          <w:sz w:val="23"/>
          <w:szCs w:val="23"/>
        </w:rPr>
        <w:t xml:space="preserve">emphasize </w:t>
      </w:r>
      <w:r w:rsidR="00CD1489" w:rsidRPr="00BC22F7">
        <w:rPr>
          <w:rFonts w:ascii="Tahoma" w:hAnsi="Tahoma" w:cs="Tahoma"/>
          <w:sz w:val="23"/>
          <w:szCs w:val="23"/>
        </w:rPr>
        <w:t>political</w:t>
      </w:r>
      <w:r w:rsidR="007B01D3" w:rsidRPr="00BC22F7">
        <w:rPr>
          <w:rFonts w:ascii="Tahoma" w:hAnsi="Tahoma" w:cs="Tahoma"/>
          <w:sz w:val="23"/>
          <w:szCs w:val="23"/>
        </w:rPr>
        <w:t xml:space="preserve"> altruism as an important </w:t>
      </w:r>
      <w:r w:rsidR="00884DA9" w:rsidRPr="00BC22F7">
        <w:rPr>
          <w:rFonts w:ascii="Tahoma" w:hAnsi="Tahoma" w:cs="Tahoma"/>
          <w:sz w:val="23"/>
          <w:szCs w:val="23"/>
        </w:rPr>
        <w:t xml:space="preserve">work </w:t>
      </w:r>
      <w:r w:rsidR="007B01D3" w:rsidRPr="00BC22F7">
        <w:rPr>
          <w:rFonts w:ascii="Tahoma" w:hAnsi="Tahoma" w:cs="Tahoma"/>
          <w:sz w:val="23"/>
          <w:szCs w:val="23"/>
        </w:rPr>
        <w:t>value</w:t>
      </w:r>
      <w:r w:rsidR="00854FCA" w:rsidRPr="00BC22F7">
        <w:rPr>
          <w:rFonts w:ascii="Tahoma" w:hAnsi="Tahoma" w:cs="Tahoma"/>
          <w:sz w:val="23"/>
          <w:szCs w:val="23"/>
        </w:rPr>
        <w:t xml:space="preserve"> in their career choice</w:t>
      </w:r>
      <w:r w:rsidR="007B01D3" w:rsidRPr="00BC22F7">
        <w:rPr>
          <w:rFonts w:ascii="Tahoma" w:hAnsi="Tahoma" w:cs="Tahoma"/>
          <w:sz w:val="23"/>
          <w:szCs w:val="23"/>
        </w:rPr>
        <w:t xml:space="preserve">. The </w:t>
      </w:r>
      <w:r w:rsidR="004448C2" w:rsidRPr="00BC22F7">
        <w:rPr>
          <w:rFonts w:ascii="Tahoma" w:hAnsi="Tahoma" w:cs="Tahoma"/>
          <w:sz w:val="23"/>
          <w:szCs w:val="23"/>
        </w:rPr>
        <w:t xml:space="preserve">motive </w:t>
      </w:r>
      <w:r w:rsidR="007B01D3" w:rsidRPr="00BC22F7">
        <w:rPr>
          <w:rFonts w:ascii="Tahoma" w:hAnsi="Tahoma" w:cs="Tahoma"/>
          <w:sz w:val="23"/>
          <w:szCs w:val="23"/>
        </w:rPr>
        <w:t xml:space="preserve">behind political altruism is </w:t>
      </w:r>
      <w:r w:rsidR="005969E7" w:rsidRPr="00BC22F7">
        <w:rPr>
          <w:rFonts w:ascii="Tahoma" w:hAnsi="Tahoma" w:cs="Tahoma"/>
          <w:sz w:val="23"/>
          <w:szCs w:val="23"/>
        </w:rPr>
        <w:t>a desire to promote fairness in society</w:t>
      </w:r>
      <w:r w:rsidR="007B01D3" w:rsidRPr="00BC22F7">
        <w:rPr>
          <w:rFonts w:ascii="Tahoma" w:hAnsi="Tahoma" w:cs="Tahoma"/>
          <w:sz w:val="23"/>
          <w:szCs w:val="23"/>
        </w:rPr>
        <w:t xml:space="preserve"> and to help others and themselves (Steen 2006, 2008)</w:t>
      </w:r>
      <w:r w:rsidR="00CD1489" w:rsidRPr="00BC22F7">
        <w:rPr>
          <w:rFonts w:ascii="Tahoma" w:hAnsi="Tahoma" w:cs="Tahoma"/>
          <w:sz w:val="23"/>
          <w:szCs w:val="23"/>
        </w:rPr>
        <w:t>. Political altruism</w:t>
      </w:r>
      <w:r w:rsidR="0079253E" w:rsidRPr="00BC22F7">
        <w:rPr>
          <w:rFonts w:ascii="Tahoma" w:hAnsi="Tahoma" w:cs="Tahoma"/>
          <w:sz w:val="23"/>
          <w:szCs w:val="23"/>
        </w:rPr>
        <w:t xml:space="preserve"> </w:t>
      </w:r>
      <w:r w:rsidR="00854FCA" w:rsidRPr="00BC22F7">
        <w:rPr>
          <w:rFonts w:ascii="Tahoma" w:hAnsi="Tahoma" w:cs="Tahoma"/>
          <w:sz w:val="23"/>
          <w:szCs w:val="23"/>
        </w:rPr>
        <w:t xml:space="preserve">is thus important to LGBT </w:t>
      </w:r>
      <w:r w:rsidR="004E3518" w:rsidRPr="00BC22F7">
        <w:rPr>
          <w:rFonts w:ascii="Tahoma" w:hAnsi="Tahoma" w:cs="Tahoma"/>
          <w:sz w:val="23"/>
          <w:szCs w:val="23"/>
        </w:rPr>
        <w:t xml:space="preserve">individuals </w:t>
      </w:r>
      <w:r w:rsidR="005969E7" w:rsidRPr="00BC22F7">
        <w:rPr>
          <w:rFonts w:ascii="Tahoma" w:hAnsi="Tahoma" w:cs="Tahoma"/>
          <w:sz w:val="23"/>
          <w:szCs w:val="23"/>
        </w:rPr>
        <w:t xml:space="preserve">in </w:t>
      </w:r>
      <w:r w:rsidR="00854FCA" w:rsidRPr="00BC22F7">
        <w:rPr>
          <w:rFonts w:ascii="Tahoma" w:hAnsi="Tahoma" w:cs="Tahoma"/>
          <w:sz w:val="23"/>
          <w:szCs w:val="23"/>
        </w:rPr>
        <w:t xml:space="preserve">their </w:t>
      </w:r>
      <w:r w:rsidR="005969E7" w:rsidRPr="00BC22F7">
        <w:rPr>
          <w:rFonts w:ascii="Tahoma" w:hAnsi="Tahoma" w:cs="Tahoma"/>
          <w:sz w:val="23"/>
          <w:szCs w:val="23"/>
        </w:rPr>
        <w:t>effort</w:t>
      </w:r>
      <w:r w:rsidR="00854FCA" w:rsidRPr="00BC22F7">
        <w:rPr>
          <w:rFonts w:ascii="Tahoma" w:hAnsi="Tahoma" w:cs="Tahoma"/>
          <w:sz w:val="23"/>
          <w:szCs w:val="23"/>
        </w:rPr>
        <w:t>s</w:t>
      </w:r>
      <w:r w:rsidR="005969E7" w:rsidRPr="00BC22F7">
        <w:rPr>
          <w:rFonts w:ascii="Tahoma" w:hAnsi="Tahoma" w:cs="Tahoma"/>
          <w:sz w:val="23"/>
          <w:szCs w:val="23"/>
        </w:rPr>
        <w:t xml:space="preserve"> to reduce </w:t>
      </w:r>
      <w:r w:rsidR="0079253E" w:rsidRPr="00BC22F7">
        <w:rPr>
          <w:rFonts w:ascii="Tahoma" w:hAnsi="Tahoma" w:cs="Tahoma"/>
          <w:sz w:val="23"/>
          <w:szCs w:val="23"/>
        </w:rPr>
        <w:t xml:space="preserve">the </w:t>
      </w:r>
      <w:r w:rsidR="005969E7" w:rsidRPr="00BC22F7">
        <w:rPr>
          <w:rFonts w:ascii="Tahoma" w:hAnsi="Tahoma" w:cs="Tahoma"/>
          <w:sz w:val="23"/>
          <w:szCs w:val="23"/>
        </w:rPr>
        <w:t>social stigma associated with being a sexual minority</w:t>
      </w:r>
      <w:r w:rsidR="004448C2" w:rsidRPr="00BC22F7">
        <w:rPr>
          <w:rFonts w:ascii="Tahoma" w:hAnsi="Tahoma" w:cs="Tahoma"/>
          <w:sz w:val="23"/>
          <w:szCs w:val="23"/>
        </w:rPr>
        <w:t xml:space="preserve"> and </w:t>
      </w:r>
      <w:r w:rsidRPr="00BC22F7">
        <w:rPr>
          <w:rFonts w:ascii="Tahoma" w:hAnsi="Tahoma" w:cs="Tahoma"/>
          <w:sz w:val="23"/>
          <w:szCs w:val="23"/>
        </w:rPr>
        <w:t xml:space="preserve">to </w:t>
      </w:r>
      <w:r w:rsidR="004448C2" w:rsidRPr="00BC22F7">
        <w:rPr>
          <w:rFonts w:ascii="Tahoma" w:hAnsi="Tahoma" w:cs="Tahoma"/>
          <w:sz w:val="23"/>
          <w:szCs w:val="23"/>
        </w:rPr>
        <w:t>enhanc</w:t>
      </w:r>
      <w:r w:rsidRPr="00BC22F7">
        <w:rPr>
          <w:rFonts w:ascii="Tahoma" w:hAnsi="Tahoma" w:cs="Tahoma"/>
          <w:sz w:val="23"/>
          <w:szCs w:val="23"/>
        </w:rPr>
        <w:t>e</w:t>
      </w:r>
      <w:r w:rsidR="004448C2" w:rsidRPr="00BC22F7">
        <w:rPr>
          <w:rFonts w:ascii="Tahoma" w:hAnsi="Tahoma" w:cs="Tahoma"/>
          <w:sz w:val="23"/>
          <w:szCs w:val="23"/>
        </w:rPr>
        <w:t xml:space="preserve"> their standing in society</w:t>
      </w:r>
      <w:r w:rsidR="007B01D3" w:rsidRPr="00BC22F7">
        <w:rPr>
          <w:rFonts w:ascii="Tahoma" w:hAnsi="Tahoma" w:cs="Tahoma"/>
          <w:sz w:val="23"/>
          <w:szCs w:val="23"/>
        </w:rPr>
        <w:t>.</w:t>
      </w:r>
      <w:r w:rsidR="005969E7" w:rsidRPr="00BC22F7">
        <w:rPr>
          <w:rFonts w:ascii="Tahoma" w:hAnsi="Tahoma" w:cs="Tahoma"/>
          <w:sz w:val="23"/>
          <w:szCs w:val="23"/>
        </w:rPr>
        <w:t xml:space="preserve"> </w:t>
      </w:r>
      <w:r w:rsidR="00CD1489" w:rsidRPr="00BC22F7">
        <w:rPr>
          <w:rFonts w:ascii="Tahoma" w:hAnsi="Tahoma" w:cs="Tahoma"/>
          <w:sz w:val="23"/>
          <w:szCs w:val="23"/>
        </w:rPr>
        <w:t xml:space="preserve">Due to concerns over social justice and the role of rational self-interest, LGBT </w:t>
      </w:r>
      <w:r w:rsidR="004E3518" w:rsidRPr="00BC22F7">
        <w:rPr>
          <w:rFonts w:ascii="Tahoma" w:hAnsi="Tahoma" w:cs="Tahoma"/>
          <w:sz w:val="23"/>
          <w:szCs w:val="23"/>
        </w:rPr>
        <w:t xml:space="preserve">individuals </w:t>
      </w:r>
      <w:r w:rsidR="00CD1489" w:rsidRPr="00BC22F7">
        <w:rPr>
          <w:rFonts w:ascii="Tahoma" w:hAnsi="Tahoma" w:cs="Tahoma"/>
          <w:sz w:val="23"/>
          <w:szCs w:val="23"/>
        </w:rPr>
        <w:t xml:space="preserve">may be </w:t>
      </w:r>
      <w:r w:rsidRPr="00BC22F7">
        <w:rPr>
          <w:rFonts w:ascii="Tahoma" w:hAnsi="Tahoma" w:cs="Tahoma"/>
          <w:sz w:val="23"/>
          <w:szCs w:val="23"/>
        </w:rPr>
        <w:t xml:space="preserve">more </w:t>
      </w:r>
      <w:r w:rsidR="00CD1489" w:rsidRPr="00BC22F7">
        <w:rPr>
          <w:rFonts w:ascii="Tahoma" w:hAnsi="Tahoma" w:cs="Tahoma"/>
          <w:sz w:val="23"/>
          <w:szCs w:val="23"/>
        </w:rPr>
        <w:t xml:space="preserve">attracted to </w:t>
      </w:r>
      <w:r w:rsidRPr="00BC22F7">
        <w:rPr>
          <w:rFonts w:ascii="Tahoma" w:hAnsi="Tahoma" w:cs="Tahoma"/>
          <w:sz w:val="23"/>
          <w:szCs w:val="23"/>
        </w:rPr>
        <w:t xml:space="preserve">working in </w:t>
      </w:r>
      <w:r w:rsidR="00CD1489" w:rsidRPr="00BC22F7">
        <w:rPr>
          <w:rFonts w:ascii="Tahoma" w:hAnsi="Tahoma" w:cs="Tahoma"/>
          <w:sz w:val="23"/>
          <w:szCs w:val="23"/>
        </w:rPr>
        <w:t>the pu</w:t>
      </w:r>
      <w:r w:rsidRPr="00BC22F7">
        <w:rPr>
          <w:rFonts w:ascii="Tahoma" w:hAnsi="Tahoma" w:cs="Tahoma"/>
          <w:sz w:val="23"/>
          <w:szCs w:val="23"/>
        </w:rPr>
        <w:t>blic service insofar as</w:t>
      </w:r>
      <w:r w:rsidR="00CD1489" w:rsidRPr="00BC22F7">
        <w:rPr>
          <w:rFonts w:ascii="Tahoma" w:hAnsi="Tahoma" w:cs="Tahoma"/>
          <w:sz w:val="23"/>
          <w:szCs w:val="23"/>
        </w:rPr>
        <w:t xml:space="preserve"> private sector organizations may not be viewed as offering the same </w:t>
      </w:r>
      <w:r w:rsidR="004E4E49" w:rsidRPr="00BC22F7">
        <w:rPr>
          <w:rFonts w:ascii="Tahoma" w:hAnsi="Tahoma" w:cs="Tahoma"/>
          <w:sz w:val="23"/>
          <w:szCs w:val="23"/>
        </w:rPr>
        <w:t xml:space="preserve">level of recognition of social issues or the same </w:t>
      </w:r>
      <w:r w:rsidR="00CD1489" w:rsidRPr="00BC22F7">
        <w:rPr>
          <w:rFonts w:ascii="Tahoma" w:hAnsi="Tahoma" w:cs="Tahoma"/>
          <w:sz w:val="23"/>
          <w:szCs w:val="23"/>
        </w:rPr>
        <w:t xml:space="preserve">platform for political altruism. </w:t>
      </w:r>
    </w:p>
    <w:p w:rsidR="00664234" w:rsidRPr="00BC22F7" w:rsidRDefault="00664234" w:rsidP="00B9229A">
      <w:pPr>
        <w:spacing w:after="0" w:line="240" w:lineRule="auto"/>
        <w:rPr>
          <w:rFonts w:ascii="Tahoma" w:hAnsi="Tahoma" w:cs="Tahoma"/>
          <w:sz w:val="23"/>
          <w:szCs w:val="23"/>
        </w:rPr>
      </w:pPr>
    </w:p>
    <w:p w:rsidR="00DB2FFF" w:rsidRPr="00BC22F7" w:rsidRDefault="00884DA9">
      <w:pPr>
        <w:spacing w:after="0" w:line="240" w:lineRule="auto"/>
        <w:jc w:val="center"/>
        <w:rPr>
          <w:rFonts w:ascii="Tahoma" w:hAnsi="Tahoma" w:cs="Tahoma"/>
          <w:sz w:val="23"/>
          <w:szCs w:val="23"/>
        </w:rPr>
      </w:pPr>
      <w:r w:rsidRPr="00BC22F7">
        <w:rPr>
          <w:rFonts w:ascii="Tahoma" w:hAnsi="Tahoma" w:cs="Tahoma"/>
          <w:sz w:val="23"/>
          <w:szCs w:val="23"/>
        </w:rPr>
        <w:t>Conclusion</w:t>
      </w:r>
    </w:p>
    <w:p w:rsidR="00884DA9" w:rsidRPr="00BC22F7" w:rsidRDefault="00884DA9" w:rsidP="00B9229A">
      <w:pPr>
        <w:spacing w:after="0" w:line="240" w:lineRule="auto"/>
        <w:rPr>
          <w:rFonts w:ascii="Tahoma" w:hAnsi="Tahoma" w:cs="Tahoma"/>
          <w:sz w:val="23"/>
          <w:szCs w:val="23"/>
        </w:rPr>
      </w:pPr>
    </w:p>
    <w:p w:rsidR="00DB2FFF" w:rsidRPr="00BC22F7" w:rsidRDefault="006D45FE">
      <w:pPr>
        <w:spacing w:after="0" w:line="240" w:lineRule="auto"/>
        <w:ind w:firstLine="720"/>
        <w:rPr>
          <w:rFonts w:ascii="Tahoma" w:hAnsi="Tahoma" w:cs="Tahoma"/>
          <w:sz w:val="23"/>
          <w:szCs w:val="23"/>
        </w:rPr>
      </w:pPr>
      <w:r w:rsidRPr="00BC22F7">
        <w:rPr>
          <w:rFonts w:ascii="Tahoma" w:hAnsi="Tahoma" w:cs="Tahoma"/>
          <w:sz w:val="23"/>
          <w:szCs w:val="23"/>
        </w:rPr>
        <w:t xml:space="preserve">In summary, </w:t>
      </w:r>
      <w:r w:rsidR="00921696" w:rsidRPr="00BC22F7">
        <w:rPr>
          <w:rFonts w:ascii="Tahoma" w:hAnsi="Tahoma" w:cs="Tahoma"/>
          <w:sz w:val="23"/>
          <w:szCs w:val="23"/>
        </w:rPr>
        <w:t xml:space="preserve">our findings signal that, with the notable exception of visible minorities, each of the underrepresented groups </w:t>
      </w:r>
      <w:r w:rsidR="007C1B7D" w:rsidRPr="00BC22F7">
        <w:rPr>
          <w:rFonts w:ascii="Tahoma" w:hAnsi="Tahoma" w:cs="Tahoma"/>
          <w:sz w:val="23"/>
          <w:szCs w:val="23"/>
        </w:rPr>
        <w:t>report</w:t>
      </w:r>
      <w:r w:rsidR="00921696" w:rsidRPr="00BC22F7">
        <w:rPr>
          <w:rFonts w:ascii="Tahoma" w:hAnsi="Tahoma" w:cs="Tahoma"/>
          <w:sz w:val="23"/>
          <w:szCs w:val="23"/>
        </w:rPr>
        <w:t xml:space="preserve"> a </w:t>
      </w:r>
      <w:r w:rsidR="0079253E" w:rsidRPr="00BC22F7">
        <w:rPr>
          <w:rFonts w:ascii="Tahoma" w:hAnsi="Tahoma" w:cs="Tahoma"/>
          <w:sz w:val="23"/>
          <w:szCs w:val="23"/>
        </w:rPr>
        <w:t xml:space="preserve">discernibly </w:t>
      </w:r>
      <w:r w:rsidR="00921696" w:rsidRPr="00BC22F7">
        <w:rPr>
          <w:rFonts w:ascii="Tahoma" w:hAnsi="Tahoma" w:cs="Tahoma"/>
          <w:sz w:val="23"/>
          <w:szCs w:val="23"/>
        </w:rPr>
        <w:t>stronger preference for work in the public sector (vs. private sector) compared to the ma</w:t>
      </w:r>
      <w:r w:rsidR="007C1B7D" w:rsidRPr="00BC22F7">
        <w:rPr>
          <w:rFonts w:ascii="Tahoma" w:hAnsi="Tahoma" w:cs="Tahoma"/>
          <w:sz w:val="23"/>
          <w:szCs w:val="23"/>
        </w:rPr>
        <w:t>jority group; however, t</w:t>
      </w:r>
      <w:r w:rsidR="00921696" w:rsidRPr="00BC22F7">
        <w:rPr>
          <w:rFonts w:ascii="Tahoma" w:hAnsi="Tahoma" w:cs="Tahoma"/>
          <w:sz w:val="23"/>
          <w:szCs w:val="23"/>
        </w:rPr>
        <w:t>he motives un</w:t>
      </w:r>
      <w:r w:rsidR="007C1B7D" w:rsidRPr="00BC22F7">
        <w:rPr>
          <w:rFonts w:ascii="Tahoma" w:hAnsi="Tahoma" w:cs="Tahoma"/>
          <w:sz w:val="23"/>
          <w:szCs w:val="23"/>
        </w:rPr>
        <w:t xml:space="preserve">derlying this attraction to </w:t>
      </w:r>
      <w:r w:rsidR="00921696" w:rsidRPr="00BC22F7">
        <w:rPr>
          <w:rFonts w:ascii="Tahoma" w:hAnsi="Tahoma" w:cs="Tahoma"/>
          <w:sz w:val="23"/>
          <w:szCs w:val="23"/>
        </w:rPr>
        <w:t>public sector jobs</w:t>
      </w:r>
      <w:r w:rsidR="0079253E" w:rsidRPr="00BC22F7">
        <w:rPr>
          <w:rFonts w:ascii="Tahoma" w:hAnsi="Tahoma" w:cs="Tahoma"/>
          <w:sz w:val="23"/>
          <w:szCs w:val="23"/>
        </w:rPr>
        <w:t xml:space="preserve"> </w:t>
      </w:r>
      <w:r w:rsidR="00DF6569" w:rsidRPr="00BC22F7">
        <w:rPr>
          <w:rFonts w:ascii="Tahoma" w:hAnsi="Tahoma" w:cs="Tahoma"/>
          <w:sz w:val="23"/>
          <w:szCs w:val="23"/>
        </w:rPr>
        <w:t>tended to vary</w:t>
      </w:r>
      <w:r w:rsidR="0079253E" w:rsidRPr="00BC22F7">
        <w:rPr>
          <w:rFonts w:ascii="Tahoma" w:hAnsi="Tahoma" w:cs="Tahoma"/>
          <w:sz w:val="23"/>
          <w:szCs w:val="23"/>
        </w:rPr>
        <w:t xml:space="preserve"> </w:t>
      </w:r>
      <w:r w:rsidR="00921696" w:rsidRPr="00BC22F7">
        <w:rPr>
          <w:rFonts w:ascii="Tahoma" w:hAnsi="Tahoma" w:cs="Tahoma"/>
          <w:sz w:val="23"/>
          <w:szCs w:val="23"/>
        </w:rPr>
        <w:t>for each demographic group. For example, Aboriginal peoples and LGBT group members appear to emphasize an employer’s commitment to social responsibility and diversity in their choice of employers</w:t>
      </w:r>
      <w:r w:rsidR="007C1B7D" w:rsidRPr="00BC22F7">
        <w:rPr>
          <w:rFonts w:ascii="Tahoma" w:hAnsi="Tahoma" w:cs="Tahoma"/>
          <w:sz w:val="23"/>
          <w:szCs w:val="23"/>
        </w:rPr>
        <w:t>,</w:t>
      </w:r>
      <w:r w:rsidR="00033BB1" w:rsidRPr="00BC22F7">
        <w:rPr>
          <w:rFonts w:ascii="Tahoma" w:hAnsi="Tahoma" w:cs="Tahoma"/>
          <w:sz w:val="23"/>
          <w:szCs w:val="23"/>
        </w:rPr>
        <w:t xml:space="preserve"> perhaps partly owing to a greater interest in political altruism, the appeal of potentially influencing and enact</w:t>
      </w:r>
      <w:r w:rsidR="0079253E" w:rsidRPr="00BC22F7">
        <w:rPr>
          <w:rFonts w:ascii="Tahoma" w:hAnsi="Tahoma" w:cs="Tahoma"/>
          <w:sz w:val="23"/>
          <w:szCs w:val="23"/>
        </w:rPr>
        <w:t>ing</w:t>
      </w:r>
      <w:r w:rsidR="00033BB1" w:rsidRPr="00BC22F7">
        <w:rPr>
          <w:rFonts w:ascii="Tahoma" w:hAnsi="Tahoma" w:cs="Tahoma"/>
          <w:sz w:val="23"/>
          <w:szCs w:val="23"/>
        </w:rPr>
        <w:t xml:space="preserve"> social policy, and the desire to work in a climate that actively supports diversity. </w:t>
      </w:r>
      <w:r w:rsidR="007C1B7D" w:rsidRPr="00BC22F7">
        <w:rPr>
          <w:rFonts w:ascii="Tahoma" w:hAnsi="Tahoma" w:cs="Tahoma"/>
          <w:sz w:val="23"/>
          <w:szCs w:val="23"/>
        </w:rPr>
        <w:t>L</w:t>
      </w:r>
      <w:r w:rsidR="0079253E" w:rsidRPr="00BC22F7">
        <w:rPr>
          <w:rFonts w:ascii="Tahoma" w:hAnsi="Tahoma" w:cs="Tahoma"/>
          <w:sz w:val="23"/>
          <w:szCs w:val="23"/>
        </w:rPr>
        <w:t>ikewise</w:t>
      </w:r>
      <w:r w:rsidR="007C1B7D" w:rsidRPr="00BC22F7">
        <w:rPr>
          <w:rFonts w:ascii="Tahoma" w:hAnsi="Tahoma" w:cs="Tahoma"/>
          <w:sz w:val="23"/>
          <w:szCs w:val="23"/>
        </w:rPr>
        <w:t>, women</w:t>
      </w:r>
      <w:r w:rsidR="0079253E" w:rsidRPr="00BC22F7">
        <w:rPr>
          <w:rFonts w:ascii="Tahoma" w:hAnsi="Tahoma" w:cs="Tahoma"/>
          <w:sz w:val="23"/>
          <w:szCs w:val="23"/>
        </w:rPr>
        <w:t xml:space="preserve"> perceive an</w:t>
      </w:r>
      <w:r w:rsidR="00033BB1" w:rsidRPr="00BC22F7">
        <w:rPr>
          <w:rFonts w:ascii="Tahoma" w:hAnsi="Tahoma" w:cs="Tahoma"/>
          <w:sz w:val="23"/>
          <w:szCs w:val="23"/>
        </w:rPr>
        <w:t xml:space="preserve"> employer’s commitment to social responsibility and diversity as desirable attributes, but a</w:t>
      </w:r>
      <w:r w:rsidR="0079253E" w:rsidRPr="00BC22F7">
        <w:rPr>
          <w:rFonts w:ascii="Tahoma" w:hAnsi="Tahoma" w:cs="Tahoma"/>
          <w:sz w:val="23"/>
          <w:szCs w:val="23"/>
        </w:rPr>
        <w:t xml:space="preserve">lso view </w:t>
      </w:r>
      <w:r w:rsidR="00033BB1" w:rsidRPr="00BC22F7">
        <w:rPr>
          <w:rFonts w:ascii="Tahoma" w:hAnsi="Tahoma" w:cs="Tahoma"/>
          <w:sz w:val="23"/>
          <w:szCs w:val="23"/>
        </w:rPr>
        <w:t xml:space="preserve">factors such as job security and </w:t>
      </w:r>
      <w:r w:rsidR="00A7173E" w:rsidRPr="00BC22F7">
        <w:rPr>
          <w:rFonts w:ascii="Tahoma" w:hAnsi="Tahoma" w:cs="Tahoma"/>
          <w:sz w:val="23"/>
          <w:szCs w:val="23"/>
        </w:rPr>
        <w:t xml:space="preserve">health and </w:t>
      </w:r>
      <w:r w:rsidR="00033BB1" w:rsidRPr="00BC22F7">
        <w:rPr>
          <w:rFonts w:ascii="Tahoma" w:hAnsi="Tahoma" w:cs="Tahoma"/>
          <w:sz w:val="23"/>
          <w:szCs w:val="23"/>
        </w:rPr>
        <w:t>benefits a</w:t>
      </w:r>
      <w:r w:rsidR="0079253E" w:rsidRPr="00BC22F7">
        <w:rPr>
          <w:rFonts w:ascii="Tahoma" w:hAnsi="Tahoma" w:cs="Tahoma"/>
          <w:sz w:val="23"/>
          <w:szCs w:val="23"/>
        </w:rPr>
        <w:t>s key attributes that attract</w:t>
      </w:r>
      <w:r w:rsidR="00033BB1" w:rsidRPr="00BC22F7">
        <w:rPr>
          <w:rFonts w:ascii="Tahoma" w:hAnsi="Tahoma" w:cs="Tahoma"/>
          <w:sz w:val="23"/>
          <w:szCs w:val="23"/>
        </w:rPr>
        <w:t xml:space="preserve"> them to jobs in the public sector. </w:t>
      </w:r>
      <w:r w:rsidR="0079253E" w:rsidRPr="00BC22F7">
        <w:rPr>
          <w:rFonts w:ascii="Tahoma" w:hAnsi="Tahoma" w:cs="Tahoma"/>
          <w:sz w:val="23"/>
          <w:szCs w:val="23"/>
        </w:rPr>
        <w:t xml:space="preserve">Regardless of the minority group, however, a common attribute that </w:t>
      </w:r>
      <w:r w:rsidR="007C1B7D" w:rsidRPr="00BC22F7">
        <w:rPr>
          <w:rFonts w:ascii="Tahoma" w:hAnsi="Tahoma" w:cs="Tahoma"/>
          <w:sz w:val="23"/>
          <w:szCs w:val="23"/>
        </w:rPr>
        <w:t>appears to be</w:t>
      </w:r>
      <w:r w:rsidR="00033BB1" w:rsidRPr="00BC22F7">
        <w:rPr>
          <w:rFonts w:ascii="Tahoma" w:hAnsi="Tahoma" w:cs="Tahoma"/>
          <w:sz w:val="23"/>
          <w:szCs w:val="23"/>
        </w:rPr>
        <w:t xml:space="preserve"> valued by all minority groups is an employer’s commitment</w:t>
      </w:r>
      <w:r w:rsidR="0079253E" w:rsidRPr="00BC22F7">
        <w:rPr>
          <w:rFonts w:ascii="Tahoma" w:hAnsi="Tahoma" w:cs="Tahoma"/>
          <w:sz w:val="23"/>
          <w:szCs w:val="23"/>
        </w:rPr>
        <w:t xml:space="preserve"> to diversity. This finding sugge</w:t>
      </w:r>
      <w:r w:rsidR="000B0EEF" w:rsidRPr="00BC22F7">
        <w:rPr>
          <w:rFonts w:ascii="Tahoma" w:hAnsi="Tahoma" w:cs="Tahoma"/>
          <w:sz w:val="23"/>
          <w:szCs w:val="23"/>
        </w:rPr>
        <w:t>s</w:t>
      </w:r>
      <w:r w:rsidR="0079253E" w:rsidRPr="00BC22F7">
        <w:rPr>
          <w:rFonts w:ascii="Tahoma" w:hAnsi="Tahoma" w:cs="Tahoma"/>
          <w:sz w:val="23"/>
          <w:szCs w:val="23"/>
        </w:rPr>
        <w:t>t</w:t>
      </w:r>
      <w:r w:rsidR="003877D0" w:rsidRPr="00BC22F7">
        <w:rPr>
          <w:rFonts w:ascii="Tahoma" w:hAnsi="Tahoma" w:cs="Tahoma"/>
          <w:sz w:val="23"/>
          <w:szCs w:val="23"/>
        </w:rPr>
        <w:t>s</w:t>
      </w:r>
      <w:r w:rsidR="0079253E" w:rsidRPr="00BC22F7">
        <w:rPr>
          <w:rFonts w:ascii="Tahoma" w:hAnsi="Tahoma" w:cs="Tahoma"/>
          <w:sz w:val="23"/>
          <w:szCs w:val="23"/>
        </w:rPr>
        <w:t xml:space="preserve"> that this </w:t>
      </w:r>
      <w:r w:rsidR="00033BB1" w:rsidRPr="00BC22F7">
        <w:rPr>
          <w:rFonts w:ascii="Tahoma" w:hAnsi="Tahoma" w:cs="Tahoma"/>
          <w:sz w:val="23"/>
          <w:szCs w:val="23"/>
        </w:rPr>
        <w:t xml:space="preserve">attribute may be a key source of competitive advantage </w:t>
      </w:r>
      <w:r w:rsidR="0079253E" w:rsidRPr="00BC22F7">
        <w:rPr>
          <w:rFonts w:ascii="Tahoma" w:hAnsi="Tahoma" w:cs="Tahoma"/>
          <w:sz w:val="23"/>
          <w:szCs w:val="23"/>
        </w:rPr>
        <w:t>that may attract</w:t>
      </w:r>
      <w:r w:rsidR="00033BB1" w:rsidRPr="00BC22F7">
        <w:rPr>
          <w:rFonts w:ascii="Tahoma" w:hAnsi="Tahoma" w:cs="Tahoma"/>
          <w:sz w:val="23"/>
          <w:szCs w:val="23"/>
        </w:rPr>
        <w:t xml:space="preserve"> individuals from diverse backgrounds to work in the public sector. </w:t>
      </w:r>
    </w:p>
    <w:p w:rsidR="00DB2FFF" w:rsidRPr="00BC22F7" w:rsidRDefault="00DB2FFF">
      <w:pPr>
        <w:spacing w:after="0" w:line="240" w:lineRule="auto"/>
        <w:ind w:firstLine="720"/>
        <w:rPr>
          <w:rFonts w:ascii="Tahoma" w:hAnsi="Tahoma" w:cs="Tahoma"/>
          <w:sz w:val="23"/>
          <w:szCs w:val="23"/>
        </w:rPr>
      </w:pPr>
    </w:p>
    <w:p w:rsidR="00DB2FFF" w:rsidRPr="00BC22F7" w:rsidRDefault="0079253E">
      <w:pPr>
        <w:spacing w:after="0" w:line="240" w:lineRule="auto"/>
        <w:ind w:firstLine="720"/>
        <w:rPr>
          <w:rFonts w:ascii="Tahoma" w:hAnsi="Tahoma" w:cs="Tahoma"/>
          <w:sz w:val="23"/>
          <w:szCs w:val="23"/>
        </w:rPr>
      </w:pPr>
      <w:r w:rsidRPr="00BC22F7">
        <w:rPr>
          <w:rFonts w:ascii="Tahoma" w:hAnsi="Tahoma" w:cs="Tahoma"/>
          <w:sz w:val="23"/>
          <w:szCs w:val="23"/>
        </w:rPr>
        <w:lastRenderedPageBreak/>
        <w:t>It is interesting to note that visib</w:t>
      </w:r>
      <w:r w:rsidR="00033BB1" w:rsidRPr="00BC22F7">
        <w:rPr>
          <w:rFonts w:ascii="Tahoma" w:hAnsi="Tahoma" w:cs="Tahoma"/>
          <w:sz w:val="23"/>
          <w:szCs w:val="23"/>
        </w:rPr>
        <w:t>le minorities tend to report lower levels of public sector attraction overall. This appea</w:t>
      </w:r>
      <w:r w:rsidR="00A7173E" w:rsidRPr="00BC22F7">
        <w:rPr>
          <w:rFonts w:ascii="Tahoma" w:hAnsi="Tahoma" w:cs="Tahoma"/>
          <w:sz w:val="23"/>
          <w:szCs w:val="23"/>
        </w:rPr>
        <w:t>rs to be partly attributable to a general</w:t>
      </w:r>
      <w:r w:rsidR="000B0EEF" w:rsidRPr="00BC22F7">
        <w:rPr>
          <w:rFonts w:ascii="Tahoma" w:hAnsi="Tahoma" w:cs="Tahoma"/>
          <w:sz w:val="23"/>
          <w:szCs w:val="23"/>
        </w:rPr>
        <w:t>ly</w:t>
      </w:r>
      <w:r w:rsidR="00A7173E" w:rsidRPr="00BC22F7">
        <w:rPr>
          <w:rFonts w:ascii="Tahoma" w:hAnsi="Tahoma" w:cs="Tahoma"/>
          <w:sz w:val="23"/>
          <w:szCs w:val="23"/>
        </w:rPr>
        <w:t xml:space="preserve"> negative perception of government jobs and an inherent belief that the private sector offers greater socioeconomic mobility. </w:t>
      </w:r>
      <w:r w:rsidRPr="00BC22F7">
        <w:rPr>
          <w:rFonts w:ascii="Tahoma" w:hAnsi="Tahoma" w:cs="Tahoma"/>
          <w:sz w:val="23"/>
          <w:szCs w:val="23"/>
        </w:rPr>
        <w:t>By the same token</w:t>
      </w:r>
      <w:r w:rsidR="00A7173E" w:rsidRPr="00BC22F7">
        <w:rPr>
          <w:rFonts w:ascii="Tahoma" w:hAnsi="Tahoma" w:cs="Tahoma"/>
          <w:sz w:val="23"/>
          <w:szCs w:val="23"/>
        </w:rPr>
        <w:t xml:space="preserve">, however, it is important to point out that visible minorities scored higher on </w:t>
      </w:r>
      <w:r w:rsidRPr="00BC22F7">
        <w:rPr>
          <w:rFonts w:ascii="Tahoma" w:hAnsi="Tahoma" w:cs="Tahoma"/>
          <w:sz w:val="23"/>
          <w:szCs w:val="23"/>
        </w:rPr>
        <w:t xml:space="preserve">the </w:t>
      </w:r>
      <w:r w:rsidR="00A7173E" w:rsidRPr="00BC22F7">
        <w:rPr>
          <w:rFonts w:ascii="Tahoma" w:hAnsi="Tahoma" w:cs="Tahoma"/>
          <w:sz w:val="23"/>
          <w:szCs w:val="23"/>
        </w:rPr>
        <w:t xml:space="preserve">four </w:t>
      </w:r>
      <w:r w:rsidRPr="00BC22F7">
        <w:rPr>
          <w:rFonts w:ascii="Tahoma" w:hAnsi="Tahoma" w:cs="Tahoma"/>
          <w:sz w:val="23"/>
          <w:szCs w:val="23"/>
        </w:rPr>
        <w:t xml:space="preserve">key </w:t>
      </w:r>
      <w:r w:rsidR="00A7173E" w:rsidRPr="00BC22F7">
        <w:rPr>
          <w:rFonts w:ascii="Tahoma" w:hAnsi="Tahoma" w:cs="Tahoma"/>
          <w:sz w:val="23"/>
          <w:szCs w:val="23"/>
        </w:rPr>
        <w:t xml:space="preserve">work values that are positively associated with public sector attraction (i.e., job security, health and benefits, commitment to social responsibility, commitment to diversity). </w:t>
      </w:r>
      <w:r w:rsidRPr="00BC22F7">
        <w:rPr>
          <w:rFonts w:ascii="Tahoma" w:hAnsi="Tahoma" w:cs="Tahoma"/>
          <w:sz w:val="23"/>
          <w:szCs w:val="23"/>
        </w:rPr>
        <w:t xml:space="preserve">Overall, these findings signal that </w:t>
      </w:r>
      <w:r w:rsidR="00A7173E" w:rsidRPr="00BC22F7">
        <w:rPr>
          <w:rFonts w:ascii="Tahoma" w:hAnsi="Tahoma" w:cs="Tahoma"/>
          <w:sz w:val="23"/>
          <w:szCs w:val="23"/>
        </w:rPr>
        <w:t xml:space="preserve">public sector employers </w:t>
      </w:r>
      <w:r w:rsidRPr="00BC22F7">
        <w:rPr>
          <w:rFonts w:ascii="Tahoma" w:hAnsi="Tahoma" w:cs="Tahoma"/>
          <w:sz w:val="23"/>
          <w:szCs w:val="23"/>
        </w:rPr>
        <w:t xml:space="preserve">may be able to enhance their effectiveness </w:t>
      </w:r>
      <w:r w:rsidR="003E24E6" w:rsidRPr="00BC22F7">
        <w:rPr>
          <w:rFonts w:ascii="Tahoma" w:hAnsi="Tahoma" w:cs="Tahoma"/>
          <w:sz w:val="23"/>
          <w:szCs w:val="23"/>
        </w:rPr>
        <w:t xml:space="preserve">in recruiting visible minorities </w:t>
      </w:r>
      <w:r w:rsidRPr="00BC22F7">
        <w:rPr>
          <w:rFonts w:ascii="Tahoma" w:hAnsi="Tahoma" w:cs="Tahoma"/>
          <w:sz w:val="23"/>
          <w:szCs w:val="23"/>
        </w:rPr>
        <w:t xml:space="preserve">by </w:t>
      </w:r>
      <w:r w:rsidR="003E24E6" w:rsidRPr="00BC22F7">
        <w:rPr>
          <w:rFonts w:ascii="Tahoma" w:hAnsi="Tahoma" w:cs="Tahoma"/>
          <w:sz w:val="23"/>
          <w:szCs w:val="23"/>
        </w:rPr>
        <w:t xml:space="preserve">further </w:t>
      </w:r>
      <w:r w:rsidR="00A7173E" w:rsidRPr="00BC22F7">
        <w:rPr>
          <w:rFonts w:ascii="Tahoma" w:hAnsi="Tahoma" w:cs="Tahoma"/>
          <w:sz w:val="23"/>
          <w:szCs w:val="23"/>
        </w:rPr>
        <w:t xml:space="preserve">highlighting these positive features of public sector jobs </w:t>
      </w:r>
      <w:r w:rsidR="007C1B7D" w:rsidRPr="00BC22F7">
        <w:rPr>
          <w:rFonts w:ascii="Tahoma" w:hAnsi="Tahoma" w:cs="Tahoma"/>
          <w:sz w:val="23"/>
          <w:szCs w:val="23"/>
        </w:rPr>
        <w:t xml:space="preserve">in their recruitment efforts and </w:t>
      </w:r>
      <w:r w:rsidR="00063061" w:rsidRPr="00BC22F7">
        <w:rPr>
          <w:rFonts w:ascii="Tahoma" w:hAnsi="Tahoma" w:cs="Tahoma"/>
          <w:sz w:val="23"/>
          <w:szCs w:val="23"/>
        </w:rPr>
        <w:t>messaging</w:t>
      </w:r>
      <w:r w:rsidR="007C1B7D" w:rsidRPr="00BC22F7">
        <w:rPr>
          <w:rFonts w:ascii="Tahoma" w:hAnsi="Tahoma" w:cs="Tahoma"/>
          <w:sz w:val="23"/>
          <w:szCs w:val="23"/>
        </w:rPr>
        <w:t>.</w:t>
      </w:r>
      <w:r w:rsidR="00063061" w:rsidRPr="00BC22F7">
        <w:rPr>
          <w:rFonts w:ascii="Tahoma" w:hAnsi="Tahoma" w:cs="Tahoma"/>
          <w:sz w:val="23"/>
          <w:szCs w:val="23"/>
        </w:rPr>
        <w:t xml:space="preserve"> </w:t>
      </w:r>
      <w:r w:rsidR="007C1B7D" w:rsidRPr="00BC22F7">
        <w:rPr>
          <w:rFonts w:ascii="Tahoma" w:hAnsi="Tahoma" w:cs="Tahoma"/>
          <w:sz w:val="23"/>
          <w:szCs w:val="23"/>
        </w:rPr>
        <w:t xml:space="preserve">Moreover, </w:t>
      </w:r>
      <w:r w:rsidR="00DF6569" w:rsidRPr="00BC22F7">
        <w:rPr>
          <w:rFonts w:ascii="Tahoma" w:hAnsi="Tahoma" w:cs="Tahoma"/>
          <w:sz w:val="23"/>
          <w:szCs w:val="23"/>
        </w:rPr>
        <w:t xml:space="preserve">our </w:t>
      </w:r>
      <w:r w:rsidR="007C1B7D" w:rsidRPr="00BC22F7">
        <w:rPr>
          <w:rFonts w:ascii="Tahoma" w:hAnsi="Tahoma" w:cs="Tahoma"/>
          <w:sz w:val="23"/>
          <w:szCs w:val="23"/>
        </w:rPr>
        <w:t>results indicate that public sector employers should also</w:t>
      </w:r>
      <w:r w:rsidR="00AE58F2" w:rsidRPr="00BC22F7">
        <w:rPr>
          <w:rFonts w:ascii="Tahoma" w:hAnsi="Tahoma" w:cs="Tahoma"/>
          <w:sz w:val="23"/>
          <w:szCs w:val="23"/>
        </w:rPr>
        <w:t xml:space="preserve"> </w:t>
      </w:r>
      <w:r w:rsidR="007C1B7D" w:rsidRPr="00BC22F7">
        <w:rPr>
          <w:rFonts w:ascii="Tahoma" w:hAnsi="Tahoma" w:cs="Tahoma"/>
          <w:sz w:val="23"/>
          <w:szCs w:val="23"/>
        </w:rPr>
        <w:t>take</w:t>
      </w:r>
      <w:r w:rsidR="003E24E6" w:rsidRPr="00BC22F7">
        <w:rPr>
          <w:rFonts w:ascii="Tahoma" w:hAnsi="Tahoma" w:cs="Tahoma"/>
          <w:sz w:val="23"/>
          <w:szCs w:val="23"/>
        </w:rPr>
        <w:t xml:space="preserve"> </w:t>
      </w:r>
      <w:r w:rsidR="007C1B7D" w:rsidRPr="00BC22F7">
        <w:rPr>
          <w:rFonts w:ascii="Tahoma" w:hAnsi="Tahoma" w:cs="Tahoma"/>
          <w:sz w:val="23"/>
          <w:szCs w:val="23"/>
        </w:rPr>
        <w:t>more deliberate</w:t>
      </w:r>
      <w:r w:rsidR="00063061" w:rsidRPr="00BC22F7">
        <w:rPr>
          <w:rFonts w:ascii="Tahoma" w:hAnsi="Tahoma" w:cs="Tahoma"/>
          <w:sz w:val="23"/>
          <w:szCs w:val="23"/>
        </w:rPr>
        <w:t xml:space="preserve"> </w:t>
      </w:r>
      <w:r w:rsidR="003E24E6" w:rsidRPr="00BC22F7">
        <w:rPr>
          <w:rFonts w:ascii="Tahoma" w:hAnsi="Tahoma" w:cs="Tahoma"/>
          <w:sz w:val="23"/>
          <w:szCs w:val="23"/>
        </w:rPr>
        <w:t xml:space="preserve">steps to improve the image of the public sector and the perception that </w:t>
      </w:r>
      <w:r w:rsidR="00DF6569" w:rsidRPr="00BC22F7">
        <w:rPr>
          <w:rFonts w:ascii="Tahoma" w:hAnsi="Tahoma" w:cs="Tahoma"/>
          <w:sz w:val="23"/>
          <w:szCs w:val="23"/>
        </w:rPr>
        <w:t xml:space="preserve">public sector jobs offer more limited </w:t>
      </w:r>
      <w:r w:rsidR="003E24E6" w:rsidRPr="00BC22F7">
        <w:rPr>
          <w:rFonts w:ascii="Tahoma" w:hAnsi="Tahoma" w:cs="Tahoma"/>
          <w:sz w:val="23"/>
          <w:szCs w:val="23"/>
        </w:rPr>
        <w:t>opportunities for socioeconomic mobility</w:t>
      </w:r>
      <w:r w:rsidR="007C1B7D" w:rsidRPr="00BC22F7">
        <w:rPr>
          <w:rFonts w:ascii="Tahoma" w:hAnsi="Tahoma" w:cs="Tahoma"/>
          <w:sz w:val="23"/>
          <w:szCs w:val="23"/>
        </w:rPr>
        <w:t xml:space="preserve"> (i.e., opportunities for advancement</w:t>
      </w:r>
      <w:r w:rsidR="00DF6569" w:rsidRPr="00BC22F7">
        <w:rPr>
          <w:rFonts w:ascii="Tahoma" w:hAnsi="Tahoma" w:cs="Tahoma"/>
          <w:sz w:val="23"/>
          <w:szCs w:val="23"/>
        </w:rPr>
        <w:t>,</w:t>
      </w:r>
      <w:r w:rsidR="007C1B7D" w:rsidRPr="00BC22F7">
        <w:rPr>
          <w:rFonts w:ascii="Tahoma" w:hAnsi="Tahoma" w:cs="Tahoma"/>
          <w:sz w:val="23"/>
          <w:szCs w:val="23"/>
        </w:rPr>
        <w:t xml:space="preserve"> or</w:t>
      </w:r>
      <w:r w:rsidR="003E24E6" w:rsidRPr="00BC22F7">
        <w:rPr>
          <w:rFonts w:ascii="Tahoma" w:hAnsi="Tahoma" w:cs="Tahoma"/>
          <w:sz w:val="23"/>
          <w:szCs w:val="23"/>
        </w:rPr>
        <w:t xml:space="preserve"> to work for highly reputable, industry leaders)</w:t>
      </w:r>
      <w:r w:rsidR="00A7173E" w:rsidRPr="00BC22F7">
        <w:rPr>
          <w:rFonts w:ascii="Tahoma" w:hAnsi="Tahoma" w:cs="Tahoma"/>
          <w:sz w:val="23"/>
          <w:szCs w:val="23"/>
        </w:rPr>
        <w:t xml:space="preserve">. </w:t>
      </w:r>
      <w:r w:rsidR="007C1B7D" w:rsidRPr="00BC22F7">
        <w:rPr>
          <w:rFonts w:ascii="Tahoma" w:hAnsi="Tahoma" w:cs="Tahoma"/>
          <w:sz w:val="23"/>
          <w:szCs w:val="23"/>
        </w:rPr>
        <w:t>In the coming years, t</w:t>
      </w:r>
      <w:r w:rsidR="00B10D0A" w:rsidRPr="00BC22F7">
        <w:rPr>
          <w:rFonts w:ascii="Tahoma" w:hAnsi="Tahoma" w:cs="Tahoma"/>
          <w:sz w:val="23"/>
          <w:szCs w:val="23"/>
        </w:rPr>
        <w:t xml:space="preserve">he Canadian government </w:t>
      </w:r>
      <w:r w:rsidR="00047C90" w:rsidRPr="00BC22F7">
        <w:rPr>
          <w:rFonts w:ascii="Tahoma" w:hAnsi="Tahoma" w:cs="Tahoma"/>
          <w:sz w:val="23"/>
          <w:szCs w:val="23"/>
        </w:rPr>
        <w:t xml:space="preserve">will need to differentiate itself from private sector employers </w:t>
      </w:r>
      <w:r w:rsidR="00B10D0A" w:rsidRPr="00BC22F7">
        <w:rPr>
          <w:rFonts w:ascii="Tahoma" w:hAnsi="Tahoma" w:cs="Tahoma"/>
          <w:sz w:val="23"/>
          <w:szCs w:val="23"/>
        </w:rPr>
        <w:t xml:space="preserve">to appeal </w:t>
      </w:r>
      <w:r w:rsidR="00047C90" w:rsidRPr="00BC22F7">
        <w:rPr>
          <w:rFonts w:ascii="Tahoma" w:hAnsi="Tahoma" w:cs="Tahoma"/>
          <w:sz w:val="23"/>
          <w:szCs w:val="23"/>
        </w:rPr>
        <w:t xml:space="preserve">to a </w:t>
      </w:r>
      <w:r w:rsidR="00B10D0A" w:rsidRPr="00BC22F7">
        <w:rPr>
          <w:rFonts w:ascii="Tahoma" w:hAnsi="Tahoma" w:cs="Tahoma"/>
          <w:sz w:val="23"/>
          <w:szCs w:val="23"/>
        </w:rPr>
        <w:t xml:space="preserve">diverse </w:t>
      </w:r>
      <w:r w:rsidR="00047C90" w:rsidRPr="00BC22F7">
        <w:rPr>
          <w:rFonts w:ascii="Tahoma" w:hAnsi="Tahoma" w:cs="Tahoma"/>
          <w:sz w:val="23"/>
          <w:szCs w:val="23"/>
        </w:rPr>
        <w:t>pool of talent, and to achieve its aim for representative bureaucracy.</w:t>
      </w:r>
      <w:r w:rsidR="000B0EEF" w:rsidRPr="00BC22F7">
        <w:rPr>
          <w:rFonts w:ascii="Tahoma" w:hAnsi="Tahoma" w:cs="Tahoma"/>
          <w:sz w:val="23"/>
          <w:szCs w:val="23"/>
        </w:rPr>
        <w:t xml:space="preserve"> </w:t>
      </w:r>
      <w:r w:rsidR="00A7173E" w:rsidRPr="00BC22F7">
        <w:rPr>
          <w:rFonts w:ascii="Tahoma" w:hAnsi="Tahoma" w:cs="Tahoma"/>
          <w:sz w:val="23"/>
          <w:szCs w:val="23"/>
        </w:rPr>
        <w:t>This study provides an initial portrait of key motives that drive attraction to</w:t>
      </w:r>
      <w:r w:rsidR="00D174DE" w:rsidRPr="00BC22F7">
        <w:rPr>
          <w:rFonts w:ascii="Tahoma" w:hAnsi="Tahoma" w:cs="Tahoma"/>
          <w:sz w:val="23"/>
          <w:szCs w:val="23"/>
        </w:rPr>
        <w:t xml:space="preserve"> </w:t>
      </w:r>
      <w:r w:rsidR="00A7173E" w:rsidRPr="00BC22F7">
        <w:rPr>
          <w:rFonts w:ascii="Tahoma" w:hAnsi="Tahoma" w:cs="Tahoma"/>
          <w:sz w:val="23"/>
          <w:szCs w:val="23"/>
        </w:rPr>
        <w:t>the public and private sector</w:t>
      </w:r>
      <w:r w:rsidR="00D174DE" w:rsidRPr="00BC22F7">
        <w:rPr>
          <w:rFonts w:ascii="Tahoma" w:hAnsi="Tahoma" w:cs="Tahoma"/>
          <w:sz w:val="23"/>
          <w:szCs w:val="23"/>
        </w:rPr>
        <w:t>,</w:t>
      </w:r>
      <w:r w:rsidRPr="00BC22F7">
        <w:rPr>
          <w:rFonts w:ascii="Tahoma" w:hAnsi="Tahoma" w:cs="Tahoma"/>
          <w:sz w:val="23"/>
          <w:szCs w:val="23"/>
        </w:rPr>
        <w:t xml:space="preserve"> which can be used to </w:t>
      </w:r>
      <w:r w:rsidR="00A7173E" w:rsidRPr="00BC22F7">
        <w:rPr>
          <w:rFonts w:ascii="Tahoma" w:hAnsi="Tahoma" w:cs="Tahoma"/>
          <w:sz w:val="23"/>
          <w:szCs w:val="23"/>
        </w:rPr>
        <w:t xml:space="preserve">better design </w:t>
      </w:r>
      <w:r w:rsidR="00D174DE" w:rsidRPr="00BC22F7">
        <w:rPr>
          <w:rFonts w:ascii="Tahoma" w:hAnsi="Tahoma" w:cs="Tahoma"/>
          <w:sz w:val="23"/>
          <w:szCs w:val="23"/>
        </w:rPr>
        <w:t xml:space="preserve">recruitment efforts and </w:t>
      </w:r>
      <w:r w:rsidR="00A7173E" w:rsidRPr="00BC22F7">
        <w:rPr>
          <w:rFonts w:ascii="Tahoma" w:hAnsi="Tahoma" w:cs="Tahoma"/>
          <w:sz w:val="23"/>
          <w:szCs w:val="23"/>
        </w:rPr>
        <w:t xml:space="preserve">tailor </w:t>
      </w:r>
      <w:r w:rsidR="00D174DE" w:rsidRPr="00BC22F7">
        <w:rPr>
          <w:rFonts w:ascii="Tahoma" w:hAnsi="Tahoma" w:cs="Tahoma"/>
          <w:sz w:val="23"/>
          <w:szCs w:val="23"/>
        </w:rPr>
        <w:t xml:space="preserve">these </w:t>
      </w:r>
      <w:r w:rsidR="00A7173E" w:rsidRPr="00BC22F7">
        <w:rPr>
          <w:rFonts w:ascii="Tahoma" w:hAnsi="Tahoma" w:cs="Tahoma"/>
          <w:sz w:val="23"/>
          <w:szCs w:val="23"/>
        </w:rPr>
        <w:t>initiatives</w:t>
      </w:r>
      <w:r w:rsidR="00D174DE" w:rsidRPr="00BC22F7">
        <w:rPr>
          <w:rFonts w:ascii="Tahoma" w:hAnsi="Tahoma" w:cs="Tahoma"/>
          <w:sz w:val="23"/>
          <w:szCs w:val="23"/>
        </w:rPr>
        <w:t xml:space="preserve"> to appeal to the core values of workers from diverse backgrounds. </w:t>
      </w:r>
      <w:r w:rsidR="00A7173E" w:rsidRPr="00BC22F7">
        <w:rPr>
          <w:rFonts w:ascii="Tahoma" w:hAnsi="Tahoma" w:cs="Tahoma"/>
          <w:sz w:val="23"/>
          <w:szCs w:val="23"/>
        </w:rPr>
        <w:t xml:space="preserve">   </w:t>
      </w:r>
    </w:p>
    <w:p w:rsidR="00047C90" w:rsidRPr="00BC22F7" w:rsidRDefault="00047C90" w:rsidP="00B9229A">
      <w:pPr>
        <w:spacing w:after="0" w:line="240" w:lineRule="auto"/>
        <w:rPr>
          <w:rFonts w:ascii="Tahoma" w:hAnsi="Tahoma" w:cs="Tahoma"/>
          <w:sz w:val="23"/>
          <w:szCs w:val="23"/>
        </w:rPr>
      </w:pPr>
    </w:p>
    <w:p w:rsidR="00DB2FFF" w:rsidRPr="00BC22F7" w:rsidRDefault="005A492E">
      <w:pPr>
        <w:spacing w:after="0" w:line="240" w:lineRule="auto"/>
        <w:ind w:firstLine="720"/>
        <w:rPr>
          <w:rFonts w:ascii="Tahoma" w:hAnsi="Tahoma" w:cs="Tahoma"/>
          <w:sz w:val="23"/>
          <w:szCs w:val="23"/>
        </w:rPr>
      </w:pPr>
      <w:r w:rsidRPr="00BC22F7">
        <w:rPr>
          <w:rFonts w:ascii="Tahoma" w:hAnsi="Tahoma" w:cs="Tahoma"/>
          <w:sz w:val="23"/>
          <w:szCs w:val="23"/>
        </w:rPr>
        <w:t>We close by cautioning the reader that</w:t>
      </w:r>
      <w:r w:rsidR="00854FCA" w:rsidRPr="00BC22F7">
        <w:rPr>
          <w:rFonts w:ascii="Tahoma" w:hAnsi="Tahoma" w:cs="Tahoma"/>
          <w:sz w:val="23"/>
          <w:szCs w:val="23"/>
        </w:rPr>
        <w:t xml:space="preserve"> the sample </w:t>
      </w:r>
      <w:r w:rsidR="007C1B7D" w:rsidRPr="00BC22F7">
        <w:rPr>
          <w:rFonts w:ascii="Tahoma" w:hAnsi="Tahoma" w:cs="Tahoma"/>
          <w:sz w:val="23"/>
          <w:szCs w:val="23"/>
        </w:rPr>
        <w:t xml:space="preserve">in this study </w:t>
      </w:r>
      <w:r w:rsidR="00854FCA" w:rsidRPr="00BC22F7">
        <w:rPr>
          <w:rFonts w:ascii="Tahoma" w:hAnsi="Tahoma" w:cs="Tahoma"/>
          <w:sz w:val="23"/>
          <w:szCs w:val="23"/>
        </w:rPr>
        <w:t xml:space="preserve">was comprised of Canadian students who are </w:t>
      </w:r>
      <w:r w:rsidRPr="00BC22F7">
        <w:rPr>
          <w:rFonts w:ascii="Tahoma" w:hAnsi="Tahoma" w:cs="Tahoma"/>
          <w:sz w:val="23"/>
          <w:szCs w:val="23"/>
        </w:rPr>
        <w:t xml:space="preserve">about </w:t>
      </w:r>
      <w:r w:rsidR="00854FCA" w:rsidRPr="00BC22F7">
        <w:rPr>
          <w:rFonts w:ascii="Tahoma" w:hAnsi="Tahoma" w:cs="Tahoma"/>
          <w:sz w:val="23"/>
          <w:szCs w:val="23"/>
        </w:rPr>
        <w:t>to</w:t>
      </w:r>
      <w:r w:rsidRPr="00BC22F7">
        <w:rPr>
          <w:rFonts w:ascii="Tahoma" w:hAnsi="Tahoma" w:cs="Tahoma"/>
          <w:sz w:val="23"/>
          <w:szCs w:val="23"/>
        </w:rPr>
        <w:t xml:space="preserve"> embark on their first careers. </w:t>
      </w:r>
      <w:r w:rsidR="00854FCA" w:rsidRPr="00BC22F7">
        <w:rPr>
          <w:rFonts w:ascii="Tahoma" w:hAnsi="Tahoma" w:cs="Tahoma"/>
          <w:sz w:val="23"/>
          <w:szCs w:val="23"/>
        </w:rPr>
        <w:t>Thus,</w:t>
      </w:r>
      <w:r w:rsidR="007C1B7D" w:rsidRPr="00BC22F7">
        <w:rPr>
          <w:rFonts w:ascii="Tahoma" w:hAnsi="Tahoma" w:cs="Tahoma"/>
          <w:sz w:val="23"/>
          <w:szCs w:val="23"/>
        </w:rPr>
        <w:t xml:space="preserve"> one must be cautious in generalizing </w:t>
      </w:r>
      <w:r w:rsidR="00854FCA" w:rsidRPr="00BC22F7">
        <w:rPr>
          <w:rFonts w:ascii="Tahoma" w:hAnsi="Tahoma" w:cs="Tahoma"/>
          <w:sz w:val="23"/>
          <w:szCs w:val="23"/>
        </w:rPr>
        <w:t xml:space="preserve">findings </w:t>
      </w:r>
      <w:r w:rsidR="007C1B7D" w:rsidRPr="00BC22F7">
        <w:rPr>
          <w:rFonts w:ascii="Tahoma" w:hAnsi="Tahoma" w:cs="Tahoma"/>
          <w:sz w:val="23"/>
          <w:szCs w:val="23"/>
        </w:rPr>
        <w:t xml:space="preserve">from this study </w:t>
      </w:r>
      <w:r w:rsidR="00854FCA" w:rsidRPr="00BC22F7">
        <w:rPr>
          <w:rFonts w:ascii="Tahoma" w:hAnsi="Tahoma" w:cs="Tahoma"/>
          <w:sz w:val="23"/>
          <w:szCs w:val="23"/>
        </w:rPr>
        <w:t xml:space="preserve">to other </w:t>
      </w:r>
      <w:r w:rsidRPr="00BC22F7">
        <w:rPr>
          <w:rFonts w:ascii="Tahoma" w:hAnsi="Tahoma" w:cs="Tahoma"/>
          <w:sz w:val="23"/>
          <w:szCs w:val="23"/>
        </w:rPr>
        <w:t>cultures</w:t>
      </w:r>
      <w:r w:rsidR="007C1B7D" w:rsidRPr="00BC22F7">
        <w:rPr>
          <w:rFonts w:ascii="Tahoma" w:hAnsi="Tahoma" w:cs="Tahoma"/>
          <w:sz w:val="23"/>
          <w:szCs w:val="23"/>
        </w:rPr>
        <w:t xml:space="preserve"> and countries</w:t>
      </w:r>
      <w:r w:rsidR="00854FCA" w:rsidRPr="00BC22F7">
        <w:rPr>
          <w:rFonts w:ascii="Tahoma" w:hAnsi="Tahoma" w:cs="Tahoma"/>
          <w:sz w:val="23"/>
          <w:szCs w:val="23"/>
        </w:rPr>
        <w:t>. Nevertheless, the findings do represent the views, values, and career choices of the next generation of workers</w:t>
      </w:r>
      <w:r w:rsidRPr="00BC22F7">
        <w:rPr>
          <w:rFonts w:ascii="Tahoma" w:hAnsi="Tahoma" w:cs="Tahoma"/>
          <w:sz w:val="23"/>
          <w:szCs w:val="23"/>
        </w:rPr>
        <w:t xml:space="preserve"> </w:t>
      </w:r>
      <w:r w:rsidR="00D174DE" w:rsidRPr="00BC22F7">
        <w:rPr>
          <w:rFonts w:ascii="Tahoma" w:hAnsi="Tahoma" w:cs="Tahoma"/>
          <w:sz w:val="23"/>
          <w:szCs w:val="23"/>
        </w:rPr>
        <w:t>in Canada</w:t>
      </w:r>
      <w:r w:rsidR="005B44E9" w:rsidRPr="00BC22F7">
        <w:rPr>
          <w:rFonts w:ascii="Tahoma" w:hAnsi="Tahoma" w:cs="Tahoma"/>
          <w:sz w:val="23"/>
          <w:szCs w:val="23"/>
        </w:rPr>
        <w:t>,</w:t>
      </w:r>
      <w:r w:rsidR="00D174DE" w:rsidRPr="00BC22F7">
        <w:rPr>
          <w:rFonts w:ascii="Tahoma" w:hAnsi="Tahoma" w:cs="Tahoma"/>
          <w:sz w:val="23"/>
          <w:szCs w:val="23"/>
        </w:rPr>
        <w:t xml:space="preserve"> </w:t>
      </w:r>
      <w:r w:rsidR="003E24E6" w:rsidRPr="00BC22F7">
        <w:rPr>
          <w:rFonts w:ascii="Tahoma" w:hAnsi="Tahoma" w:cs="Tahoma"/>
          <w:sz w:val="23"/>
          <w:szCs w:val="23"/>
        </w:rPr>
        <w:t>including</w:t>
      </w:r>
      <w:r w:rsidR="004E3518" w:rsidRPr="00BC22F7">
        <w:rPr>
          <w:rFonts w:ascii="Tahoma" w:hAnsi="Tahoma" w:cs="Tahoma"/>
          <w:sz w:val="23"/>
          <w:szCs w:val="23"/>
        </w:rPr>
        <w:t xml:space="preserve"> </w:t>
      </w:r>
      <w:r w:rsidR="00DF6569" w:rsidRPr="00BC22F7">
        <w:rPr>
          <w:rFonts w:ascii="Tahoma" w:hAnsi="Tahoma" w:cs="Tahoma"/>
          <w:sz w:val="23"/>
          <w:szCs w:val="23"/>
        </w:rPr>
        <w:t xml:space="preserve">for </w:t>
      </w:r>
      <w:r w:rsidR="00D174DE" w:rsidRPr="00BC22F7">
        <w:rPr>
          <w:rFonts w:ascii="Tahoma" w:hAnsi="Tahoma" w:cs="Tahoma"/>
          <w:sz w:val="23"/>
          <w:szCs w:val="23"/>
        </w:rPr>
        <w:t xml:space="preserve">each of the </w:t>
      </w:r>
      <w:r w:rsidRPr="00BC22F7">
        <w:rPr>
          <w:rFonts w:ascii="Tahoma" w:hAnsi="Tahoma" w:cs="Tahoma"/>
          <w:sz w:val="23"/>
          <w:szCs w:val="23"/>
        </w:rPr>
        <w:t>underrepresented groups</w:t>
      </w:r>
      <w:r w:rsidR="003E24E6" w:rsidRPr="00BC22F7">
        <w:rPr>
          <w:rFonts w:ascii="Tahoma" w:hAnsi="Tahoma" w:cs="Tahoma"/>
          <w:sz w:val="23"/>
          <w:szCs w:val="23"/>
        </w:rPr>
        <w:t>.</w:t>
      </w:r>
      <w:r w:rsidR="00D174DE" w:rsidRPr="00BC22F7">
        <w:rPr>
          <w:rFonts w:ascii="Tahoma" w:hAnsi="Tahoma" w:cs="Tahoma"/>
          <w:sz w:val="23"/>
          <w:szCs w:val="23"/>
        </w:rPr>
        <w:t xml:space="preserve"> We encourage future </w:t>
      </w:r>
      <w:r w:rsidR="003E24E6" w:rsidRPr="00BC22F7">
        <w:rPr>
          <w:rFonts w:ascii="Tahoma" w:hAnsi="Tahoma" w:cs="Tahoma"/>
          <w:sz w:val="23"/>
          <w:szCs w:val="23"/>
        </w:rPr>
        <w:t xml:space="preserve">studies in this area to be conducted across different cultures and national contexts to further </w:t>
      </w:r>
      <w:r w:rsidR="00FD4C50" w:rsidRPr="00BC22F7">
        <w:rPr>
          <w:rFonts w:ascii="Tahoma" w:hAnsi="Tahoma" w:cs="Tahoma"/>
          <w:sz w:val="23"/>
          <w:szCs w:val="23"/>
        </w:rPr>
        <w:t xml:space="preserve">test the </w:t>
      </w:r>
      <w:proofErr w:type="spellStart"/>
      <w:r w:rsidR="00FD4C50" w:rsidRPr="00BC22F7">
        <w:rPr>
          <w:rFonts w:ascii="Tahoma" w:hAnsi="Tahoma" w:cs="Tahoma"/>
          <w:sz w:val="23"/>
          <w:szCs w:val="23"/>
        </w:rPr>
        <w:t>generalizability</w:t>
      </w:r>
      <w:proofErr w:type="spellEnd"/>
      <w:r w:rsidR="00FD4C50" w:rsidRPr="00BC22F7">
        <w:rPr>
          <w:rFonts w:ascii="Tahoma" w:hAnsi="Tahoma" w:cs="Tahoma"/>
          <w:sz w:val="23"/>
          <w:szCs w:val="23"/>
        </w:rPr>
        <w:t xml:space="preserve"> of these </w:t>
      </w:r>
      <w:r w:rsidR="00DF6569" w:rsidRPr="00BC22F7">
        <w:rPr>
          <w:rFonts w:ascii="Tahoma" w:hAnsi="Tahoma" w:cs="Tahoma"/>
          <w:sz w:val="23"/>
          <w:szCs w:val="23"/>
        </w:rPr>
        <w:t>findings</w:t>
      </w:r>
      <w:r w:rsidR="00FD4C50" w:rsidRPr="00BC22F7">
        <w:rPr>
          <w:rFonts w:ascii="Tahoma" w:hAnsi="Tahoma" w:cs="Tahoma"/>
          <w:sz w:val="23"/>
          <w:szCs w:val="23"/>
        </w:rPr>
        <w:t xml:space="preserve"> and to </w:t>
      </w:r>
      <w:r w:rsidR="005B44E9" w:rsidRPr="00BC22F7">
        <w:rPr>
          <w:rFonts w:ascii="Tahoma" w:hAnsi="Tahoma" w:cs="Tahoma"/>
          <w:sz w:val="23"/>
          <w:szCs w:val="23"/>
        </w:rPr>
        <w:t xml:space="preserve">further </w:t>
      </w:r>
      <w:r w:rsidR="00FD4C50" w:rsidRPr="00BC22F7">
        <w:rPr>
          <w:rFonts w:ascii="Tahoma" w:hAnsi="Tahoma" w:cs="Tahoma"/>
          <w:sz w:val="23"/>
          <w:szCs w:val="23"/>
        </w:rPr>
        <w:t xml:space="preserve">explore the diverse range of motives that underlie workers’ </w:t>
      </w:r>
      <w:proofErr w:type="spellStart"/>
      <w:r w:rsidR="00DF6569" w:rsidRPr="00BC22F7">
        <w:rPr>
          <w:rFonts w:ascii="Tahoma" w:hAnsi="Tahoma" w:cs="Tahoma"/>
          <w:sz w:val="23"/>
          <w:szCs w:val="23"/>
        </w:rPr>
        <w:t>sectoral</w:t>
      </w:r>
      <w:proofErr w:type="spellEnd"/>
      <w:r w:rsidR="00DF6569" w:rsidRPr="00BC22F7">
        <w:rPr>
          <w:rFonts w:ascii="Tahoma" w:hAnsi="Tahoma" w:cs="Tahoma"/>
          <w:sz w:val="23"/>
          <w:szCs w:val="23"/>
        </w:rPr>
        <w:t xml:space="preserve"> preferences</w:t>
      </w:r>
      <w:r w:rsidR="004E3518" w:rsidRPr="00BC22F7">
        <w:rPr>
          <w:rFonts w:ascii="Tahoma" w:hAnsi="Tahoma" w:cs="Tahoma"/>
          <w:sz w:val="23"/>
          <w:szCs w:val="23"/>
        </w:rPr>
        <w:t xml:space="preserve">. </w:t>
      </w:r>
      <w:r w:rsidR="003E24E6" w:rsidRPr="00BC22F7">
        <w:rPr>
          <w:rFonts w:ascii="Tahoma" w:hAnsi="Tahoma" w:cs="Tahoma"/>
          <w:sz w:val="23"/>
          <w:szCs w:val="23"/>
        </w:rPr>
        <w:t>Research adopting a mixed-</w:t>
      </w:r>
      <w:r w:rsidR="00D174DE" w:rsidRPr="00BC22F7">
        <w:rPr>
          <w:rFonts w:ascii="Tahoma" w:hAnsi="Tahoma" w:cs="Tahoma"/>
          <w:sz w:val="23"/>
          <w:szCs w:val="23"/>
        </w:rPr>
        <w:t xml:space="preserve">method </w:t>
      </w:r>
      <w:proofErr w:type="gramStart"/>
      <w:r w:rsidR="00D174DE" w:rsidRPr="00BC22F7">
        <w:rPr>
          <w:rFonts w:ascii="Tahoma" w:hAnsi="Tahoma" w:cs="Tahoma"/>
          <w:sz w:val="23"/>
          <w:szCs w:val="23"/>
        </w:rPr>
        <w:t>approach</w:t>
      </w:r>
      <w:proofErr w:type="gramEnd"/>
      <w:r w:rsidR="00D174DE" w:rsidRPr="00BC22F7">
        <w:rPr>
          <w:rFonts w:ascii="Tahoma" w:hAnsi="Tahoma" w:cs="Tahoma"/>
          <w:sz w:val="23"/>
          <w:szCs w:val="23"/>
        </w:rPr>
        <w:t>, using both qualitative and quant</w:t>
      </w:r>
      <w:r w:rsidR="003E24E6" w:rsidRPr="00BC22F7">
        <w:rPr>
          <w:rFonts w:ascii="Tahoma" w:hAnsi="Tahoma" w:cs="Tahoma"/>
          <w:sz w:val="23"/>
          <w:szCs w:val="23"/>
        </w:rPr>
        <w:t>it</w:t>
      </w:r>
      <w:r w:rsidR="00D174DE" w:rsidRPr="00BC22F7">
        <w:rPr>
          <w:rFonts w:ascii="Tahoma" w:hAnsi="Tahoma" w:cs="Tahoma"/>
          <w:sz w:val="23"/>
          <w:szCs w:val="23"/>
        </w:rPr>
        <w:t xml:space="preserve">ative data collection methodologies, will </w:t>
      </w:r>
      <w:r w:rsidR="003E24E6" w:rsidRPr="00BC22F7">
        <w:rPr>
          <w:rFonts w:ascii="Tahoma" w:hAnsi="Tahoma" w:cs="Tahoma"/>
          <w:sz w:val="23"/>
          <w:szCs w:val="23"/>
        </w:rPr>
        <w:t>be particularly valuable</w:t>
      </w:r>
      <w:r w:rsidR="00D174DE" w:rsidRPr="00BC22F7">
        <w:rPr>
          <w:rFonts w:ascii="Tahoma" w:hAnsi="Tahoma" w:cs="Tahoma"/>
          <w:sz w:val="23"/>
          <w:szCs w:val="23"/>
        </w:rPr>
        <w:t xml:space="preserve"> in further disentangling the core motives underlying public</w:t>
      </w:r>
      <w:r w:rsidR="003E24E6" w:rsidRPr="00BC22F7">
        <w:rPr>
          <w:rFonts w:ascii="Tahoma" w:hAnsi="Tahoma" w:cs="Tahoma"/>
          <w:sz w:val="23"/>
          <w:szCs w:val="23"/>
        </w:rPr>
        <w:t xml:space="preserve"> sector attraction among</w:t>
      </w:r>
      <w:r w:rsidR="00D174DE" w:rsidRPr="00BC22F7">
        <w:rPr>
          <w:rFonts w:ascii="Tahoma" w:hAnsi="Tahoma" w:cs="Tahoma"/>
          <w:sz w:val="23"/>
          <w:szCs w:val="23"/>
        </w:rPr>
        <w:t xml:space="preserve"> different minority groups.  </w:t>
      </w:r>
      <w:r w:rsidR="00854FCA" w:rsidRPr="00BC22F7">
        <w:rPr>
          <w:rFonts w:ascii="Tahoma" w:hAnsi="Tahoma" w:cs="Tahoma"/>
          <w:sz w:val="23"/>
          <w:szCs w:val="23"/>
        </w:rPr>
        <w:t xml:space="preserve"> </w:t>
      </w:r>
    </w:p>
    <w:p w:rsidR="00AD12C9" w:rsidRPr="00BC22F7" w:rsidRDefault="00771FE6" w:rsidP="008A026D">
      <w:pPr>
        <w:spacing w:after="0" w:line="240" w:lineRule="auto"/>
        <w:rPr>
          <w:rFonts w:ascii="Tahoma" w:hAnsi="Tahoma" w:cs="Tahoma"/>
          <w:b/>
          <w:sz w:val="23"/>
          <w:szCs w:val="23"/>
        </w:rPr>
      </w:pPr>
      <w:r w:rsidRPr="00BC22F7">
        <w:rPr>
          <w:rFonts w:ascii="Tahoma" w:hAnsi="Tahoma" w:cs="Tahoma"/>
          <w:b/>
          <w:sz w:val="23"/>
          <w:szCs w:val="23"/>
        </w:rPr>
        <w:br w:type="page"/>
      </w:r>
    </w:p>
    <w:p w:rsidR="00871E8B" w:rsidRPr="00BC22F7" w:rsidRDefault="006205BA" w:rsidP="008A026D">
      <w:pPr>
        <w:spacing w:after="0" w:line="240" w:lineRule="auto"/>
        <w:jc w:val="center"/>
        <w:rPr>
          <w:rFonts w:ascii="Tahoma" w:hAnsi="Tahoma" w:cs="Tahoma"/>
          <w:sz w:val="23"/>
          <w:szCs w:val="23"/>
        </w:rPr>
      </w:pPr>
      <w:r w:rsidRPr="00BC22F7">
        <w:rPr>
          <w:rFonts w:ascii="Tahoma" w:hAnsi="Tahoma" w:cs="Tahoma"/>
          <w:sz w:val="23"/>
          <w:szCs w:val="23"/>
        </w:rPr>
        <w:lastRenderedPageBreak/>
        <w:t>References</w:t>
      </w:r>
    </w:p>
    <w:p w:rsidR="00854FCA" w:rsidRPr="00BC22F7" w:rsidRDefault="00854FCA" w:rsidP="008A026D">
      <w:pPr>
        <w:spacing w:after="0" w:line="240" w:lineRule="auto"/>
        <w:ind w:left="284" w:hanging="284"/>
        <w:rPr>
          <w:rFonts w:ascii="Tahoma" w:hAnsi="Tahoma" w:cs="Tahoma"/>
          <w:bCs/>
          <w:sz w:val="23"/>
          <w:szCs w:val="23"/>
        </w:rPr>
      </w:pPr>
    </w:p>
    <w:p w:rsidR="009F152F" w:rsidRPr="00BC22F7" w:rsidRDefault="009F152F" w:rsidP="004B38CB">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t>Agocs</w:t>
      </w:r>
      <w:proofErr w:type="spellEnd"/>
      <w:r w:rsidRPr="00BC22F7">
        <w:rPr>
          <w:rFonts w:ascii="Tahoma" w:hAnsi="Tahoma" w:cs="Tahoma"/>
          <w:bCs/>
          <w:sz w:val="23"/>
          <w:szCs w:val="23"/>
        </w:rPr>
        <w:t xml:space="preserve">, C. (2012).  </w:t>
      </w:r>
      <w:proofErr w:type="gramStart"/>
      <w:r w:rsidRPr="00BC22F7">
        <w:rPr>
          <w:rFonts w:ascii="Tahoma" w:hAnsi="Tahoma" w:cs="Tahoma"/>
          <w:bCs/>
          <w:sz w:val="23"/>
          <w:szCs w:val="23"/>
        </w:rPr>
        <w:t>Representative bureaucracy?</w:t>
      </w:r>
      <w:proofErr w:type="gramEnd"/>
      <w:r w:rsidRPr="00BC22F7" w:rsidDel="002945F2">
        <w:rPr>
          <w:rFonts w:ascii="Tahoma" w:hAnsi="Tahoma" w:cs="Tahoma"/>
          <w:bCs/>
          <w:sz w:val="23"/>
          <w:szCs w:val="23"/>
        </w:rPr>
        <w:t xml:space="preserve"> </w:t>
      </w:r>
      <w:r w:rsidRPr="00BC22F7">
        <w:rPr>
          <w:rFonts w:ascii="Tahoma" w:hAnsi="Tahoma" w:cs="Tahoma"/>
          <w:bCs/>
          <w:sz w:val="23"/>
          <w:szCs w:val="23"/>
        </w:rPr>
        <w:t xml:space="preserve"> </w:t>
      </w:r>
      <w:proofErr w:type="gramStart"/>
      <w:r w:rsidRPr="00BC22F7">
        <w:rPr>
          <w:rFonts w:ascii="Tahoma" w:hAnsi="Tahoma" w:cs="Tahoma"/>
          <w:bCs/>
          <w:sz w:val="23"/>
          <w:szCs w:val="23"/>
        </w:rPr>
        <w:t>Employment equity in the public service of Canada.</w:t>
      </w:r>
      <w:proofErr w:type="gramEnd"/>
      <w:r w:rsidRPr="00BC22F7">
        <w:rPr>
          <w:rFonts w:ascii="Tahoma" w:hAnsi="Tahoma" w:cs="Tahoma"/>
          <w:bCs/>
          <w:sz w:val="23"/>
          <w:szCs w:val="23"/>
        </w:rPr>
        <w:t xml:space="preserve">  Paper presented at the 2012 Annual Conference of the Canadian Political Science Association, Edmonton, </w:t>
      </w:r>
      <w:proofErr w:type="gramStart"/>
      <w:r w:rsidRPr="00BC22F7">
        <w:rPr>
          <w:rFonts w:ascii="Tahoma" w:hAnsi="Tahoma" w:cs="Tahoma"/>
          <w:bCs/>
          <w:sz w:val="23"/>
          <w:szCs w:val="23"/>
        </w:rPr>
        <w:t>June</w:t>
      </w:r>
      <w:proofErr w:type="gramEnd"/>
      <w:r w:rsidRPr="00BC22F7">
        <w:rPr>
          <w:rFonts w:ascii="Tahoma" w:hAnsi="Tahoma" w:cs="Tahoma"/>
          <w:bCs/>
          <w:sz w:val="23"/>
          <w:szCs w:val="23"/>
        </w:rPr>
        <w:t xml:space="preserve"> 13-15. </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Atkins, </w:t>
      </w:r>
      <w:hyperlink r:id="rId8" w:history="1">
        <w:r w:rsidRPr="00BC22F7">
          <w:rPr>
            <w:rFonts w:ascii="Tahoma" w:hAnsi="Tahoma" w:cs="Tahoma"/>
            <w:bCs/>
            <w:sz w:val="23"/>
            <w:szCs w:val="23"/>
          </w:rPr>
          <w:t xml:space="preserve">C.G.K. (2006). </w:t>
        </w:r>
      </w:hyperlink>
      <w:r w:rsidRPr="00BC22F7">
        <w:rPr>
          <w:rFonts w:ascii="Tahoma" w:hAnsi="Tahoma" w:cs="Tahoma"/>
          <w:bCs/>
          <w:sz w:val="23"/>
          <w:szCs w:val="23"/>
        </w:rPr>
        <w:t xml:space="preserve">A cripple at a rich man's gate: A comparison of disability, employment and anti-discrimination law in the United States and Canada. </w:t>
      </w:r>
      <w:r w:rsidRPr="00BC22F7">
        <w:rPr>
          <w:rFonts w:ascii="Tahoma" w:hAnsi="Tahoma" w:cs="Tahoma"/>
          <w:bCs/>
          <w:i/>
          <w:sz w:val="23"/>
          <w:szCs w:val="23"/>
        </w:rPr>
        <w:t>Canadian Journal of Law and Society, 21</w:t>
      </w:r>
      <w:r w:rsidRPr="00BC22F7">
        <w:rPr>
          <w:rFonts w:ascii="Tahoma" w:hAnsi="Tahoma" w:cs="Tahoma"/>
          <w:bCs/>
          <w:sz w:val="23"/>
          <w:szCs w:val="23"/>
        </w:rPr>
        <w:t>(2), 87-111.</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Beck, J.H., Reitz, J.G., &amp; Werner, N. (2002)</w:t>
      </w:r>
      <w:proofErr w:type="gramStart"/>
      <w:r w:rsidRPr="00BC22F7">
        <w:rPr>
          <w:rFonts w:ascii="Tahoma" w:hAnsi="Tahoma" w:cs="Tahoma"/>
          <w:bCs/>
          <w:sz w:val="23"/>
          <w:szCs w:val="23"/>
        </w:rPr>
        <w:t>,</w:t>
      </w:r>
      <w:r w:rsidRPr="00BC22F7" w:rsidDel="002945F2">
        <w:rPr>
          <w:rFonts w:ascii="Tahoma" w:hAnsi="Tahoma" w:cs="Tahoma"/>
          <w:bCs/>
          <w:sz w:val="23"/>
          <w:szCs w:val="23"/>
        </w:rPr>
        <w:t xml:space="preserve"> </w:t>
      </w:r>
      <w:r w:rsidRPr="00BC22F7">
        <w:rPr>
          <w:rFonts w:ascii="Tahoma" w:hAnsi="Tahoma" w:cs="Tahoma"/>
          <w:bCs/>
          <w:sz w:val="23"/>
          <w:szCs w:val="23"/>
        </w:rPr>
        <w:t xml:space="preserve"> Addressing</w:t>
      </w:r>
      <w:proofErr w:type="gramEnd"/>
      <w:r w:rsidRPr="00BC22F7">
        <w:rPr>
          <w:rFonts w:ascii="Tahoma" w:hAnsi="Tahoma" w:cs="Tahoma"/>
          <w:bCs/>
          <w:sz w:val="23"/>
          <w:szCs w:val="23"/>
        </w:rPr>
        <w:t xml:space="preserve"> systemic racial discrimination in employment: The health Canada case and implications of legislative change.  Retrieved January 24, 2013 from </w:t>
      </w:r>
      <w:hyperlink r:id="rId9" w:history="1">
        <w:r w:rsidRPr="00BC22F7">
          <w:rPr>
            <w:rStyle w:val="Hyperlink"/>
            <w:rFonts w:ascii="Tahoma" w:hAnsi="Tahoma" w:cs="Tahoma"/>
            <w:bCs/>
            <w:sz w:val="23"/>
            <w:szCs w:val="23"/>
          </w:rPr>
          <w:t>http://action.web.ca/home/narcc/attach/Addressing%20Systemic%20Racial%20Discrimination%20in%20Employment-%20Health%20Canada%20Case.pdf</w:t>
        </w:r>
      </w:hyperlink>
    </w:p>
    <w:p w:rsidR="009F152F" w:rsidRPr="00BC22F7" w:rsidRDefault="009F152F">
      <w:pPr>
        <w:spacing w:after="0" w:line="240" w:lineRule="auto"/>
        <w:ind w:left="567" w:hanging="567"/>
        <w:rPr>
          <w:rFonts w:ascii="Tahoma" w:hAnsi="Tahoma" w:cs="Tahoma"/>
          <w:bCs/>
          <w:sz w:val="23"/>
          <w:szCs w:val="23"/>
        </w:rPr>
      </w:pPr>
      <w:proofErr w:type="spellStart"/>
      <w:proofErr w:type="gramStart"/>
      <w:r w:rsidRPr="00BC22F7">
        <w:rPr>
          <w:rFonts w:ascii="Tahoma" w:hAnsi="Tahoma" w:cs="Tahoma"/>
          <w:bCs/>
          <w:sz w:val="23"/>
          <w:szCs w:val="23"/>
        </w:rPr>
        <w:t>Benabou</w:t>
      </w:r>
      <w:proofErr w:type="spellEnd"/>
      <w:r w:rsidRPr="00BC22F7">
        <w:rPr>
          <w:rFonts w:ascii="Tahoma" w:hAnsi="Tahoma" w:cs="Tahoma"/>
          <w:bCs/>
          <w:sz w:val="23"/>
          <w:szCs w:val="23"/>
        </w:rPr>
        <w:t xml:space="preserve">, R., &amp; </w:t>
      </w:r>
      <w:proofErr w:type="spellStart"/>
      <w:r w:rsidRPr="00BC22F7">
        <w:rPr>
          <w:rFonts w:ascii="Tahoma" w:hAnsi="Tahoma" w:cs="Tahoma"/>
          <w:bCs/>
          <w:sz w:val="23"/>
          <w:szCs w:val="23"/>
        </w:rPr>
        <w:t>Tirole</w:t>
      </w:r>
      <w:proofErr w:type="spellEnd"/>
      <w:r w:rsidRPr="00BC22F7">
        <w:rPr>
          <w:rFonts w:ascii="Tahoma" w:hAnsi="Tahoma" w:cs="Tahoma"/>
          <w:bCs/>
          <w:sz w:val="23"/>
          <w:szCs w:val="23"/>
        </w:rPr>
        <w:t>, J. (2006).</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 xml:space="preserve">Incentives and </w:t>
      </w:r>
      <w:proofErr w:type="spellStart"/>
      <w:r w:rsidRPr="00BC22F7">
        <w:rPr>
          <w:rFonts w:ascii="Tahoma" w:hAnsi="Tahoma" w:cs="Tahoma"/>
          <w:bCs/>
          <w:sz w:val="23"/>
          <w:szCs w:val="23"/>
        </w:rPr>
        <w:t>prosocial</w:t>
      </w:r>
      <w:proofErr w:type="spellEnd"/>
      <w:r w:rsidRPr="00BC22F7">
        <w:rPr>
          <w:rFonts w:ascii="Tahoma" w:hAnsi="Tahoma" w:cs="Tahoma"/>
          <w:bCs/>
          <w:sz w:val="23"/>
          <w:szCs w:val="23"/>
        </w:rPr>
        <w:t xml:space="preserve"> behavior.</w:t>
      </w:r>
      <w:proofErr w:type="gramEnd"/>
      <w:r w:rsidRPr="00BC22F7">
        <w:rPr>
          <w:rFonts w:ascii="Tahoma" w:hAnsi="Tahoma" w:cs="Tahoma"/>
          <w:bCs/>
          <w:sz w:val="23"/>
          <w:szCs w:val="23"/>
        </w:rPr>
        <w:t xml:space="preserve"> </w:t>
      </w:r>
      <w:r w:rsidRPr="00BC22F7">
        <w:rPr>
          <w:rFonts w:ascii="Tahoma" w:hAnsi="Tahoma" w:cs="Tahoma"/>
          <w:bCs/>
          <w:i/>
          <w:sz w:val="23"/>
          <w:szCs w:val="23"/>
        </w:rPr>
        <w:t>The American Economic Review, 96</w:t>
      </w:r>
      <w:r w:rsidRPr="00BC22F7">
        <w:rPr>
          <w:rFonts w:ascii="Tahoma" w:hAnsi="Tahoma" w:cs="Tahoma"/>
          <w:bCs/>
          <w:sz w:val="23"/>
          <w:szCs w:val="23"/>
        </w:rPr>
        <w:t>(5), 1652-1678.</w:t>
      </w:r>
      <w:r w:rsidRPr="00BC22F7" w:rsidDel="002945F2">
        <w:rPr>
          <w:rFonts w:ascii="Tahoma" w:hAnsi="Tahoma" w:cs="Tahoma"/>
          <w:bCs/>
          <w:sz w:val="23"/>
          <w:szCs w:val="23"/>
        </w:rPr>
        <w:t>Agocs, C. (2012).  Representative bureaucracy?  Employment equity in the public service of Canada.  Paper presented at the 2012 Annual Conference of the Canadian Political Science Association, Edmonton, June 13-15</w:t>
      </w:r>
      <w:r w:rsidRPr="00BC22F7">
        <w:rPr>
          <w:rFonts w:ascii="Tahoma" w:hAnsi="Tahoma" w:cs="Tahoma"/>
          <w:bCs/>
          <w:sz w:val="23"/>
          <w:szCs w:val="23"/>
        </w:rPr>
        <w:t xml:space="preserve"> </w:t>
      </w:r>
    </w:p>
    <w:p w:rsidR="009F152F" w:rsidRPr="00BC22F7" w:rsidRDefault="009F152F" w:rsidP="004B38CB">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t>Benhamadi</w:t>
      </w:r>
      <w:proofErr w:type="spellEnd"/>
      <w:r w:rsidRPr="00BC22F7">
        <w:rPr>
          <w:rFonts w:ascii="Tahoma" w:hAnsi="Tahoma" w:cs="Tahoma"/>
          <w:bCs/>
          <w:sz w:val="23"/>
          <w:szCs w:val="23"/>
        </w:rPr>
        <w:t xml:space="preserve">, D. (2003).  Governance and diversity within the public service in Canada: towards a viable and sustainable representation of designated groups (employment equity).  </w:t>
      </w:r>
      <w:r w:rsidRPr="00BC22F7">
        <w:rPr>
          <w:rFonts w:ascii="Tahoma" w:hAnsi="Tahoma" w:cs="Tahoma"/>
          <w:bCs/>
          <w:i/>
          <w:sz w:val="23"/>
          <w:szCs w:val="23"/>
        </w:rPr>
        <w:t>International Review of Administrative Sciences, 69</w:t>
      </w:r>
      <w:r w:rsidRPr="00BC22F7">
        <w:rPr>
          <w:rFonts w:ascii="Tahoma" w:hAnsi="Tahoma" w:cs="Tahoma"/>
          <w:bCs/>
          <w:sz w:val="23"/>
          <w:szCs w:val="23"/>
        </w:rPr>
        <w:t>(4), 505–519.</w:t>
      </w:r>
    </w:p>
    <w:p w:rsidR="009F152F" w:rsidRPr="00BC22F7" w:rsidRDefault="009F152F">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Bouchard, G., &amp; Carroll, B. W. (2002).</w:t>
      </w:r>
      <w:proofErr w:type="gramEnd"/>
      <w:r w:rsidRPr="00BC22F7">
        <w:rPr>
          <w:rFonts w:ascii="Tahoma" w:hAnsi="Tahoma" w:cs="Tahoma"/>
          <w:bCs/>
          <w:sz w:val="23"/>
          <w:szCs w:val="23"/>
        </w:rPr>
        <w:t xml:space="preserve"> Policy‐making and administrative discretion: The case of immigration in Canada. </w:t>
      </w:r>
      <w:r w:rsidRPr="00BC22F7">
        <w:rPr>
          <w:rFonts w:ascii="Tahoma" w:hAnsi="Tahoma" w:cs="Tahoma"/>
          <w:bCs/>
          <w:i/>
          <w:sz w:val="23"/>
          <w:szCs w:val="23"/>
        </w:rPr>
        <w:t>Canadian Public Administration, 45</w:t>
      </w:r>
      <w:r w:rsidRPr="00BC22F7">
        <w:rPr>
          <w:rFonts w:ascii="Tahoma" w:hAnsi="Tahoma" w:cs="Tahoma"/>
          <w:bCs/>
          <w:sz w:val="23"/>
          <w:szCs w:val="23"/>
        </w:rPr>
        <w:t>(2), 239-257.</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 xml:space="preserve">Bradbury, M., &amp; </w:t>
      </w:r>
      <w:proofErr w:type="spellStart"/>
      <w:r w:rsidRPr="00BC22F7">
        <w:rPr>
          <w:rFonts w:ascii="Tahoma" w:hAnsi="Tahoma" w:cs="Tahoma"/>
          <w:bCs/>
          <w:sz w:val="23"/>
          <w:szCs w:val="23"/>
        </w:rPr>
        <w:t>Kellough</w:t>
      </w:r>
      <w:proofErr w:type="spellEnd"/>
      <w:r w:rsidRPr="00BC22F7">
        <w:rPr>
          <w:rFonts w:ascii="Tahoma" w:hAnsi="Tahoma" w:cs="Tahoma"/>
          <w:bCs/>
          <w:sz w:val="23"/>
          <w:szCs w:val="23"/>
        </w:rPr>
        <w:t>, J. E. (2011).</w:t>
      </w:r>
      <w:proofErr w:type="gramEnd"/>
      <w:r w:rsidRPr="00BC22F7">
        <w:rPr>
          <w:rFonts w:ascii="Tahoma" w:hAnsi="Tahoma" w:cs="Tahoma"/>
          <w:bCs/>
          <w:sz w:val="23"/>
          <w:szCs w:val="23"/>
        </w:rPr>
        <w:t xml:space="preserve"> Representative bureaucracy: Assessing the evidence on active representation.  </w:t>
      </w:r>
      <w:r w:rsidRPr="00BC22F7">
        <w:rPr>
          <w:rFonts w:ascii="Tahoma" w:hAnsi="Tahoma" w:cs="Tahoma"/>
          <w:bCs/>
          <w:i/>
          <w:sz w:val="23"/>
          <w:szCs w:val="23"/>
        </w:rPr>
        <w:t>American Review of Public Administration, 41</w:t>
      </w:r>
      <w:r w:rsidRPr="00BC22F7">
        <w:rPr>
          <w:rFonts w:ascii="Tahoma" w:hAnsi="Tahoma" w:cs="Tahoma"/>
          <w:bCs/>
          <w:sz w:val="23"/>
          <w:szCs w:val="23"/>
        </w:rPr>
        <w:t xml:space="preserve">(2), 157-167. </w:t>
      </w:r>
    </w:p>
    <w:p w:rsidR="009F152F" w:rsidRPr="00BC22F7" w:rsidRDefault="009F152F" w:rsidP="004B38CB">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Bright, L. (2005). </w:t>
      </w:r>
      <w:proofErr w:type="gramStart"/>
      <w:r w:rsidRPr="00BC22F7">
        <w:rPr>
          <w:rFonts w:ascii="Tahoma" w:hAnsi="Tahoma" w:cs="Tahoma"/>
          <w:bCs/>
          <w:sz w:val="23"/>
          <w:szCs w:val="23"/>
        </w:rPr>
        <w:t>Public employees with high levels of public service motivation.</w:t>
      </w:r>
      <w:proofErr w:type="gramEnd"/>
      <w:r w:rsidRPr="00BC22F7">
        <w:rPr>
          <w:rFonts w:ascii="Tahoma" w:hAnsi="Tahoma" w:cs="Tahoma"/>
          <w:bCs/>
          <w:sz w:val="23"/>
          <w:szCs w:val="23"/>
        </w:rPr>
        <w:t xml:space="preserve"> </w:t>
      </w:r>
      <w:r w:rsidRPr="00BC22F7" w:rsidDel="004118EA">
        <w:rPr>
          <w:rFonts w:ascii="Tahoma" w:hAnsi="Tahoma" w:cs="Tahoma"/>
          <w:bCs/>
          <w:sz w:val="23"/>
          <w:szCs w:val="23"/>
        </w:rPr>
        <w:t xml:space="preserve">who </w:t>
      </w:r>
      <w:proofErr w:type="spellStart"/>
      <w:r w:rsidRPr="00BC22F7">
        <w:rPr>
          <w:rFonts w:ascii="Tahoma" w:hAnsi="Tahoma" w:cs="Tahoma"/>
          <w:bCs/>
          <w:sz w:val="23"/>
          <w:szCs w:val="23"/>
        </w:rPr>
        <w:t>Who</w:t>
      </w:r>
      <w:proofErr w:type="spellEnd"/>
      <w:r w:rsidRPr="00BC22F7">
        <w:rPr>
          <w:rFonts w:ascii="Tahoma" w:hAnsi="Tahoma" w:cs="Tahoma"/>
          <w:bCs/>
          <w:sz w:val="23"/>
          <w:szCs w:val="23"/>
        </w:rPr>
        <w:t xml:space="preserve"> are they, where are they, and what do they want? </w:t>
      </w:r>
      <w:r w:rsidRPr="00BC22F7">
        <w:rPr>
          <w:rFonts w:ascii="Tahoma" w:hAnsi="Tahoma" w:cs="Tahoma"/>
          <w:bCs/>
          <w:i/>
          <w:sz w:val="23"/>
          <w:szCs w:val="23"/>
        </w:rPr>
        <w:t>Review of Public Personnel Administration, 25</w:t>
      </w:r>
      <w:r w:rsidRPr="00BC22F7">
        <w:rPr>
          <w:rFonts w:ascii="Tahoma" w:hAnsi="Tahoma" w:cs="Tahoma"/>
          <w:bCs/>
          <w:sz w:val="23"/>
          <w:szCs w:val="23"/>
        </w:rPr>
        <w:t>(2), 138-154.</w:t>
      </w:r>
    </w:p>
    <w:p w:rsidR="009F152F" w:rsidRPr="00BC22F7" w:rsidRDefault="009F152F">
      <w:pPr>
        <w:spacing w:after="0" w:line="240" w:lineRule="auto"/>
        <w:ind w:left="567" w:hanging="567"/>
        <w:rPr>
          <w:rFonts w:ascii="Tahoma" w:hAnsi="Tahoma" w:cs="Tahoma"/>
          <w:bCs/>
          <w:sz w:val="23"/>
          <w:szCs w:val="23"/>
        </w:rPr>
      </w:pPr>
      <w:proofErr w:type="spellStart"/>
      <w:proofErr w:type="gramStart"/>
      <w:r w:rsidRPr="00BC22F7">
        <w:rPr>
          <w:rFonts w:ascii="Tahoma" w:hAnsi="Tahoma" w:cs="Tahoma"/>
          <w:bCs/>
          <w:sz w:val="23"/>
          <w:szCs w:val="23"/>
        </w:rPr>
        <w:t>Buelens</w:t>
      </w:r>
      <w:proofErr w:type="spellEnd"/>
      <w:r w:rsidRPr="00BC22F7">
        <w:rPr>
          <w:rFonts w:ascii="Tahoma" w:hAnsi="Tahoma" w:cs="Tahoma"/>
          <w:bCs/>
          <w:sz w:val="23"/>
          <w:szCs w:val="23"/>
        </w:rPr>
        <w:t xml:space="preserve">, M., &amp; Van den </w:t>
      </w:r>
      <w:proofErr w:type="spellStart"/>
      <w:r w:rsidRPr="00BC22F7">
        <w:rPr>
          <w:rFonts w:ascii="Tahoma" w:hAnsi="Tahoma" w:cs="Tahoma"/>
          <w:bCs/>
          <w:sz w:val="23"/>
          <w:szCs w:val="23"/>
        </w:rPr>
        <w:t>Broeck</w:t>
      </w:r>
      <w:proofErr w:type="spellEnd"/>
      <w:r w:rsidRPr="00BC22F7">
        <w:rPr>
          <w:rFonts w:ascii="Tahoma" w:hAnsi="Tahoma" w:cs="Tahoma"/>
          <w:bCs/>
          <w:sz w:val="23"/>
          <w:szCs w:val="23"/>
        </w:rPr>
        <w:t>, H. (2007).</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An analysis of differences in work motivation between public and private sector organizations.</w:t>
      </w:r>
      <w:proofErr w:type="gramEnd"/>
      <w:r w:rsidRPr="00BC22F7">
        <w:rPr>
          <w:rFonts w:ascii="Tahoma" w:hAnsi="Tahoma" w:cs="Tahoma"/>
          <w:bCs/>
          <w:sz w:val="23"/>
          <w:szCs w:val="23"/>
        </w:rPr>
        <w:t> </w:t>
      </w:r>
      <w:r w:rsidRPr="00BC22F7">
        <w:rPr>
          <w:rFonts w:ascii="Tahoma" w:hAnsi="Tahoma" w:cs="Tahoma"/>
          <w:bCs/>
          <w:i/>
          <w:sz w:val="23"/>
          <w:szCs w:val="23"/>
        </w:rPr>
        <w:t>Public Administration Review, 67</w:t>
      </w:r>
      <w:r w:rsidRPr="00BC22F7">
        <w:rPr>
          <w:rFonts w:ascii="Tahoma" w:hAnsi="Tahoma" w:cs="Tahoma"/>
          <w:bCs/>
          <w:sz w:val="23"/>
          <w:szCs w:val="23"/>
        </w:rPr>
        <w:t xml:space="preserve">(1), 65-74. </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Burke, R.J., &amp; Ng, E. (2006).</w:t>
      </w:r>
      <w:proofErr w:type="gramEnd"/>
      <w:r w:rsidRPr="00BC22F7">
        <w:rPr>
          <w:rFonts w:ascii="Tahoma" w:hAnsi="Tahoma" w:cs="Tahoma"/>
          <w:bCs/>
          <w:sz w:val="23"/>
          <w:szCs w:val="23"/>
        </w:rPr>
        <w:t xml:space="preserve">  The changing nature of work and organizations: Implications for human resource management.  </w:t>
      </w:r>
      <w:r w:rsidRPr="00BC22F7">
        <w:rPr>
          <w:rFonts w:ascii="Tahoma" w:hAnsi="Tahoma" w:cs="Tahoma"/>
          <w:bCs/>
          <w:i/>
          <w:sz w:val="23"/>
          <w:szCs w:val="23"/>
        </w:rPr>
        <w:t>Human Resource Management Review, 16</w:t>
      </w:r>
      <w:r w:rsidRPr="00BC22F7">
        <w:rPr>
          <w:rFonts w:ascii="Tahoma" w:hAnsi="Tahoma" w:cs="Tahoma"/>
          <w:bCs/>
          <w:sz w:val="23"/>
          <w:szCs w:val="23"/>
        </w:rPr>
        <w:t>(2), 86-94.</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Canadian Labour and Business Centre (</w:t>
      </w:r>
      <w:proofErr w:type="spellStart"/>
      <w:r w:rsidRPr="00BC22F7">
        <w:rPr>
          <w:rFonts w:ascii="Tahoma" w:hAnsi="Tahoma" w:cs="Tahoma"/>
          <w:bCs/>
          <w:sz w:val="23"/>
          <w:szCs w:val="23"/>
        </w:rPr>
        <w:t>n.d</w:t>
      </w:r>
      <w:proofErr w:type="spellEnd"/>
      <w:r w:rsidRPr="00BC22F7">
        <w:rPr>
          <w:rFonts w:ascii="Tahoma" w:hAnsi="Tahoma" w:cs="Tahoma"/>
          <w:bCs/>
          <w:sz w:val="23"/>
          <w:szCs w:val="23"/>
        </w:rPr>
        <w:t>.).</w:t>
      </w:r>
      <w:proofErr w:type="gramEnd"/>
      <w:r w:rsidRPr="00BC22F7">
        <w:rPr>
          <w:rFonts w:ascii="Tahoma" w:hAnsi="Tahoma" w:cs="Tahoma"/>
          <w:bCs/>
          <w:sz w:val="23"/>
          <w:szCs w:val="23"/>
        </w:rPr>
        <w:t xml:space="preserve">  Handbook: Immigration and Skills Shortages.  Retrieved December 10, 2012 from </w:t>
      </w:r>
      <w:hyperlink r:id="rId10" w:history="1">
        <w:r w:rsidRPr="00BC22F7">
          <w:rPr>
            <w:rStyle w:val="Hyperlink"/>
            <w:rFonts w:ascii="Tahoma" w:hAnsi="Tahoma" w:cs="Tahoma"/>
            <w:bCs/>
            <w:sz w:val="23"/>
            <w:szCs w:val="23"/>
          </w:rPr>
          <w:t>http://www.clbc.ca/files/reports/immigration_handbook.pdf</w:t>
        </w:r>
      </w:hyperlink>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 xml:space="preserve">Carpenter, J., </w:t>
      </w:r>
      <w:proofErr w:type="spellStart"/>
      <w:r w:rsidRPr="00BC22F7">
        <w:rPr>
          <w:rFonts w:ascii="Tahoma" w:hAnsi="Tahoma" w:cs="Tahoma"/>
          <w:bCs/>
          <w:sz w:val="23"/>
          <w:szCs w:val="23"/>
        </w:rPr>
        <w:t>Doverspike</w:t>
      </w:r>
      <w:proofErr w:type="spellEnd"/>
      <w:r w:rsidRPr="00BC22F7">
        <w:rPr>
          <w:rFonts w:ascii="Tahoma" w:hAnsi="Tahoma" w:cs="Tahoma"/>
          <w:bCs/>
          <w:sz w:val="23"/>
          <w:szCs w:val="23"/>
        </w:rPr>
        <w:t>, D., &amp; Rosanna, F. M. (2012).</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Public service motivation as a predictor of attraction to the public sector.</w:t>
      </w:r>
      <w:proofErr w:type="gramEnd"/>
      <w:r w:rsidRPr="00BC22F7">
        <w:rPr>
          <w:rFonts w:ascii="Tahoma" w:hAnsi="Tahoma" w:cs="Tahoma"/>
          <w:bCs/>
          <w:sz w:val="23"/>
          <w:szCs w:val="23"/>
        </w:rPr>
        <w:t> </w:t>
      </w:r>
      <w:r w:rsidRPr="00BC22F7">
        <w:rPr>
          <w:rFonts w:ascii="Tahoma" w:hAnsi="Tahoma" w:cs="Tahoma"/>
          <w:bCs/>
          <w:i/>
          <w:sz w:val="23"/>
          <w:szCs w:val="23"/>
        </w:rPr>
        <w:t>Journal of Vocational Behavior, 80</w:t>
      </w:r>
      <w:r w:rsidRPr="00BC22F7">
        <w:rPr>
          <w:rFonts w:ascii="Tahoma" w:hAnsi="Tahoma" w:cs="Tahoma"/>
          <w:bCs/>
          <w:sz w:val="23"/>
          <w:szCs w:val="23"/>
        </w:rPr>
        <w:t>(2), 509-523.</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Chatman, J. (1989). </w:t>
      </w:r>
      <w:proofErr w:type="gramStart"/>
      <w:r w:rsidRPr="00BC22F7">
        <w:rPr>
          <w:rFonts w:ascii="Tahoma" w:hAnsi="Tahoma" w:cs="Tahoma"/>
          <w:bCs/>
          <w:sz w:val="23"/>
          <w:szCs w:val="23"/>
        </w:rPr>
        <w:t xml:space="preserve">Improving interactional organizational behavior:  A model of </w:t>
      </w:r>
      <w:proofErr w:type="spellStart"/>
      <w:r w:rsidRPr="00BC22F7">
        <w:rPr>
          <w:rFonts w:ascii="Tahoma" w:hAnsi="Tahoma" w:cs="Tahoma"/>
          <w:bCs/>
          <w:sz w:val="23"/>
          <w:szCs w:val="23"/>
        </w:rPr>
        <w:t>personorganization</w:t>
      </w:r>
      <w:proofErr w:type="spellEnd"/>
      <w:r w:rsidRPr="00BC22F7">
        <w:rPr>
          <w:rFonts w:ascii="Tahoma" w:hAnsi="Tahoma" w:cs="Tahoma"/>
          <w:bCs/>
          <w:sz w:val="23"/>
          <w:szCs w:val="23"/>
        </w:rPr>
        <w:t xml:space="preserve"> fit.</w:t>
      </w:r>
      <w:proofErr w:type="gramEnd"/>
      <w:r w:rsidRPr="00BC22F7">
        <w:rPr>
          <w:rFonts w:ascii="Tahoma" w:hAnsi="Tahoma" w:cs="Tahoma"/>
          <w:bCs/>
          <w:sz w:val="23"/>
          <w:szCs w:val="23"/>
        </w:rPr>
        <w:t xml:space="preserve"> </w:t>
      </w:r>
      <w:r w:rsidRPr="00BC22F7">
        <w:rPr>
          <w:rFonts w:ascii="Tahoma" w:hAnsi="Tahoma" w:cs="Tahoma"/>
          <w:bCs/>
          <w:i/>
          <w:sz w:val="23"/>
          <w:szCs w:val="23"/>
        </w:rPr>
        <w:t>Academy of Management Review, 14</w:t>
      </w:r>
      <w:r w:rsidRPr="00BC22F7">
        <w:rPr>
          <w:rFonts w:ascii="Tahoma" w:hAnsi="Tahoma" w:cs="Tahoma"/>
          <w:bCs/>
          <w:sz w:val="23"/>
          <w:szCs w:val="23"/>
        </w:rPr>
        <w:t>, 333-349</w:t>
      </w:r>
    </w:p>
    <w:p w:rsidR="009F152F" w:rsidRPr="00BC22F7" w:rsidRDefault="009F152F" w:rsidP="008D5135">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t>Chetkovich</w:t>
      </w:r>
      <w:proofErr w:type="spellEnd"/>
      <w:r w:rsidRPr="00BC22F7">
        <w:rPr>
          <w:rFonts w:ascii="Tahoma" w:hAnsi="Tahoma" w:cs="Tahoma"/>
          <w:bCs/>
          <w:sz w:val="23"/>
          <w:szCs w:val="23"/>
        </w:rPr>
        <w:t xml:space="preserve">, C. (2003). What's in a sector? </w:t>
      </w:r>
      <w:proofErr w:type="gramStart"/>
      <w:r w:rsidRPr="00BC22F7">
        <w:rPr>
          <w:rFonts w:ascii="Tahoma" w:hAnsi="Tahoma" w:cs="Tahoma"/>
          <w:bCs/>
          <w:sz w:val="23"/>
          <w:szCs w:val="23"/>
        </w:rPr>
        <w:t>the</w:t>
      </w:r>
      <w:proofErr w:type="gramEnd"/>
      <w:r w:rsidRPr="00BC22F7">
        <w:rPr>
          <w:rFonts w:ascii="Tahoma" w:hAnsi="Tahoma" w:cs="Tahoma"/>
          <w:bCs/>
          <w:sz w:val="23"/>
          <w:szCs w:val="23"/>
        </w:rPr>
        <w:t xml:space="preserve"> shifting career plans of public policy students. Public Administration Review</w:t>
      </w:r>
      <w:proofErr w:type="gramStart"/>
      <w:r w:rsidRPr="00BC22F7">
        <w:rPr>
          <w:rFonts w:ascii="Tahoma" w:hAnsi="Tahoma" w:cs="Tahoma"/>
          <w:bCs/>
          <w:sz w:val="23"/>
          <w:szCs w:val="23"/>
        </w:rPr>
        <w:t>,63</w:t>
      </w:r>
      <w:proofErr w:type="gramEnd"/>
      <w:r w:rsidRPr="00BC22F7">
        <w:rPr>
          <w:rFonts w:ascii="Tahoma" w:hAnsi="Tahoma" w:cs="Tahoma"/>
          <w:bCs/>
          <w:sz w:val="23"/>
          <w:szCs w:val="23"/>
        </w:rPr>
        <w:t xml:space="preserve">(6), 660-674. </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lastRenderedPageBreak/>
        <w:t>Citizenship and Immigration Canada (2010).</w:t>
      </w:r>
      <w:proofErr w:type="gramEnd"/>
      <w:r w:rsidRPr="00BC22F7">
        <w:rPr>
          <w:rFonts w:ascii="Tahoma" w:hAnsi="Tahoma" w:cs="Tahoma"/>
          <w:bCs/>
          <w:sz w:val="23"/>
          <w:szCs w:val="23"/>
        </w:rPr>
        <w:t xml:space="preserve">  Facts and figures 2010 – Immigration overview: Permanent and temporary residents.  Retrieved December 10, 2012 from </w:t>
      </w:r>
      <w:hyperlink r:id="rId11" w:history="1">
        <w:r w:rsidRPr="00BC22F7">
          <w:rPr>
            <w:rStyle w:val="Hyperlink"/>
            <w:rFonts w:ascii="Tahoma" w:hAnsi="Tahoma" w:cs="Tahoma"/>
            <w:bCs/>
            <w:sz w:val="23"/>
            <w:szCs w:val="23"/>
          </w:rPr>
          <w:t>http://www.cic.gc.ca/english/pdf/research-stats/facts2010.pdf</w:t>
        </w:r>
      </w:hyperlink>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 xml:space="preserve">Clark, A., &amp; </w:t>
      </w:r>
      <w:proofErr w:type="spellStart"/>
      <w:r w:rsidRPr="00BC22F7">
        <w:rPr>
          <w:rFonts w:ascii="Tahoma" w:hAnsi="Tahoma" w:cs="Tahoma"/>
          <w:bCs/>
          <w:sz w:val="23"/>
          <w:szCs w:val="23"/>
        </w:rPr>
        <w:t>Postel-vinay</w:t>
      </w:r>
      <w:proofErr w:type="spellEnd"/>
      <w:r w:rsidRPr="00BC22F7">
        <w:rPr>
          <w:rFonts w:ascii="Tahoma" w:hAnsi="Tahoma" w:cs="Tahoma"/>
          <w:bCs/>
          <w:sz w:val="23"/>
          <w:szCs w:val="23"/>
        </w:rPr>
        <w:t>, F. (2009).</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Job security and job protection.</w:t>
      </w:r>
      <w:proofErr w:type="gramEnd"/>
      <w:r w:rsidRPr="00BC22F7">
        <w:rPr>
          <w:rFonts w:ascii="Tahoma" w:hAnsi="Tahoma" w:cs="Tahoma"/>
          <w:bCs/>
          <w:sz w:val="23"/>
          <w:szCs w:val="23"/>
        </w:rPr>
        <w:t> </w:t>
      </w:r>
      <w:r w:rsidRPr="00BC22F7">
        <w:rPr>
          <w:rFonts w:ascii="Tahoma" w:hAnsi="Tahoma" w:cs="Tahoma"/>
          <w:bCs/>
          <w:i/>
          <w:sz w:val="23"/>
          <w:szCs w:val="23"/>
        </w:rPr>
        <w:t>Oxford Economic Papers, 61</w:t>
      </w:r>
      <w:r w:rsidRPr="00BC22F7">
        <w:rPr>
          <w:rFonts w:ascii="Tahoma" w:hAnsi="Tahoma" w:cs="Tahoma"/>
          <w:bCs/>
          <w:sz w:val="23"/>
          <w:szCs w:val="23"/>
        </w:rPr>
        <w:t>(2), 207-239.</w:t>
      </w:r>
    </w:p>
    <w:p w:rsidR="009F152F" w:rsidRPr="00BC22F7" w:rsidRDefault="009F152F" w:rsidP="004B38CB">
      <w:pPr>
        <w:spacing w:after="0" w:line="240" w:lineRule="auto"/>
        <w:ind w:left="567" w:hanging="567"/>
        <w:rPr>
          <w:rFonts w:ascii="Tahoma" w:hAnsi="Tahoma" w:cs="Tahoma"/>
          <w:bCs/>
          <w:sz w:val="23"/>
          <w:szCs w:val="23"/>
        </w:rPr>
      </w:pPr>
      <w:proofErr w:type="spellStart"/>
      <w:proofErr w:type="gramStart"/>
      <w:r w:rsidRPr="00BC22F7">
        <w:rPr>
          <w:rFonts w:ascii="Tahoma" w:hAnsi="Tahoma" w:cs="Tahoma"/>
          <w:bCs/>
          <w:sz w:val="23"/>
          <w:szCs w:val="23"/>
        </w:rPr>
        <w:t>Clerkin</w:t>
      </w:r>
      <w:proofErr w:type="spellEnd"/>
      <w:r w:rsidRPr="00BC22F7">
        <w:rPr>
          <w:rFonts w:ascii="Tahoma" w:hAnsi="Tahoma" w:cs="Tahoma"/>
          <w:bCs/>
          <w:sz w:val="23"/>
          <w:szCs w:val="23"/>
        </w:rPr>
        <w:t xml:space="preserve">, R. M., &amp; </w:t>
      </w:r>
      <w:proofErr w:type="spellStart"/>
      <w:r w:rsidRPr="00BC22F7">
        <w:rPr>
          <w:rFonts w:ascii="Tahoma" w:hAnsi="Tahoma" w:cs="Tahoma"/>
          <w:bCs/>
          <w:sz w:val="23"/>
          <w:szCs w:val="23"/>
        </w:rPr>
        <w:t>Coggburn</w:t>
      </w:r>
      <w:proofErr w:type="spellEnd"/>
      <w:r w:rsidRPr="00BC22F7">
        <w:rPr>
          <w:rFonts w:ascii="Tahoma" w:hAnsi="Tahoma" w:cs="Tahoma"/>
          <w:bCs/>
          <w:sz w:val="23"/>
          <w:szCs w:val="23"/>
        </w:rPr>
        <w:t>, J. D. (2012).</w:t>
      </w:r>
      <w:proofErr w:type="gramEnd"/>
      <w:r w:rsidRPr="00BC22F7">
        <w:rPr>
          <w:rFonts w:ascii="Tahoma" w:hAnsi="Tahoma" w:cs="Tahoma"/>
          <w:bCs/>
          <w:sz w:val="23"/>
          <w:szCs w:val="23"/>
        </w:rPr>
        <w:t xml:space="preserve"> The dimensions of public service motivation and sector work preferences. </w:t>
      </w:r>
      <w:r w:rsidRPr="00BC22F7">
        <w:rPr>
          <w:rFonts w:ascii="Tahoma" w:hAnsi="Tahoma" w:cs="Tahoma"/>
          <w:bCs/>
          <w:i/>
          <w:sz w:val="23"/>
          <w:szCs w:val="23"/>
        </w:rPr>
        <w:t>Review of Public Personnel Administration, 32</w:t>
      </w:r>
      <w:r w:rsidRPr="00BC22F7">
        <w:rPr>
          <w:rFonts w:ascii="Tahoma" w:hAnsi="Tahoma" w:cs="Tahoma"/>
          <w:bCs/>
          <w:sz w:val="23"/>
          <w:szCs w:val="23"/>
        </w:rPr>
        <w:t>(3), 209-235.</w:t>
      </w:r>
    </w:p>
    <w:p w:rsidR="009F152F" w:rsidRPr="00BC22F7" w:rsidRDefault="009F152F" w:rsidP="008D5135">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t>Cox</w:t>
      </w:r>
      <w:proofErr w:type="gramStart"/>
      <w:r w:rsidRPr="00BC22F7">
        <w:rPr>
          <w:rFonts w:ascii="Tahoma" w:hAnsi="Tahoma" w:cs="Tahoma"/>
          <w:bCs/>
          <w:sz w:val="23"/>
          <w:szCs w:val="23"/>
        </w:rPr>
        <w:t>,Taylor</w:t>
      </w:r>
      <w:proofErr w:type="spellEnd"/>
      <w:proofErr w:type="gramEnd"/>
      <w:r w:rsidRPr="00BC22F7">
        <w:rPr>
          <w:rFonts w:ascii="Tahoma" w:hAnsi="Tahoma" w:cs="Tahoma"/>
          <w:bCs/>
          <w:sz w:val="23"/>
          <w:szCs w:val="23"/>
        </w:rPr>
        <w:t xml:space="preserve"> </w:t>
      </w:r>
      <w:proofErr w:type="spellStart"/>
      <w:r w:rsidRPr="00BC22F7">
        <w:rPr>
          <w:rFonts w:ascii="Tahoma" w:hAnsi="Tahoma" w:cs="Tahoma"/>
          <w:bCs/>
          <w:sz w:val="23"/>
          <w:szCs w:val="23"/>
        </w:rPr>
        <w:t>H.,,Jr</w:t>
      </w:r>
      <w:proofErr w:type="spellEnd"/>
      <w:r w:rsidRPr="00BC22F7">
        <w:rPr>
          <w:rFonts w:ascii="Tahoma" w:hAnsi="Tahoma" w:cs="Tahoma"/>
          <w:bCs/>
          <w:sz w:val="23"/>
          <w:szCs w:val="23"/>
        </w:rPr>
        <w:t>, &amp; Blake, S. (1991). Managing cultural diversity: Implications for organizational competitiveness. </w:t>
      </w:r>
      <w:proofErr w:type="gramStart"/>
      <w:r w:rsidRPr="00BC22F7">
        <w:rPr>
          <w:rFonts w:ascii="Tahoma" w:hAnsi="Tahoma" w:cs="Tahoma"/>
          <w:bCs/>
          <w:i/>
          <w:sz w:val="23"/>
          <w:szCs w:val="23"/>
        </w:rPr>
        <w:t>The Executive, 5</w:t>
      </w:r>
      <w:r w:rsidRPr="00BC22F7">
        <w:rPr>
          <w:rFonts w:ascii="Tahoma" w:hAnsi="Tahoma" w:cs="Tahoma"/>
          <w:bCs/>
          <w:sz w:val="23"/>
          <w:szCs w:val="23"/>
        </w:rPr>
        <w:t>(3), 45-45.</w:t>
      </w:r>
      <w:proofErr w:type="gramEnd"/>
      <w:r w:rsidRPr="00BC22F7">
        <w:rPr>
          <w:rFonts w:ascii="Tahoma" w:hAnsi="Tahoma" w:cs="Tahoma"/>
          <w:bCs/>
          <w:sz w:val="23"/>
          <w:szCs w:val="23"/>
        </w:rPr>
        <w:t xml:space="preserve"> </w:t>
      </w:r>
    </w:p>
    <w:p w:rsidR="009F152F" w:rsidRPr="00BC22F7" w:rsidRDefault="009F152F">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 xml:space="preserve">Dalton, D., &amp; </w:t>
      </w:r>
      <w:proofErr w:type="spellStart"/>
      <w:r w:rsidRPr="00BC22F7">
        <w:rPr>
          <w:rFonts w:ascii="Tahoma" w:hAnsi="Tahoma" w:cs="Tahoma"/>
          <w:bCs/>
          <w:sz w:val="23"/>
          <w:szCs w:val="23"/>
        </w:rPr>
        <w:t>Ortegren</w:t>
      </w:r>
      <w:proofErr w:type="spellEnd"/>
      <w:r w:rsidRPr="00BC22F7">
        <w:rPr>
          <w:rFonts w:ascii="Tahoma" w:hAnsi="Tahoma" w:cs="Tahoma"/>
          <w:bCs/>
          <w:sz w:val="23"/>
          <w:szCs w:val="23"/>
        </w:rPr>
        <w:t>, M. (2011).</w:t>
      </w:r>
      <w:proofErr w:type="gramEnd"/>
      <w:r w:rsidRPr="00BC22F7">
        <w:rPr>
          <w:rFonts w:ascii="Tahoma" w:hAnsi="Tahoma" w:cs="Tahoma"/>
          <w:bCs/>
          <w:sz w:val="23"/>
          <w:szCs w:val="23"/>
        </w:rPr>
        <w:t xml:space="preserve"> Gender differences in ethics research: The importance of controlling for the social desirability response bias. </w:t>
      </w:r>
      <w:r w:rsidRPr="00BC22F7">
        <w:rPr>
          <w:rFonts w:ascii="Tahoma" w:hAnsi="Tahoma" w:cs="Tahoma"/>
          <w:bCs/>
          <w:i/>
          <w:sz w:val="23"/>
          <w:szCs w:val="23"/>
        </w:rPr>
        <w:t>Journal of Business Ethics, 103</w:t>
      </w:r>
      <w:r w:rsidRPr="00BC22F7">
        <w:rPr>
          <w:rFonts w:ascii="Tahoma" w:hAnsi="Tahoma" w:cs="Tahoma"/>
          <w:bCs/>
          <w:sz w:val="23"/>
          <w:szCs w:val="23"/>
        </w:rPr>
        <w:t>(1), 73-93.</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Employment Equity Act: Annual Report 2010. Retrieved January 24, 2013 from </w:t>
      </w:r>
      <w:hyperlink r:id="rId12" w:history="1">
        <w:r w:rsidRPr="00BC22F7">
          <w:rPr>
            <w:rStyle w:val="Hyperlink"/>
            <w:rFonts w:ascii="Tahoma" w:hAnsi="Tahoma" w:cs="Tahoma"/>
            <w:bCs/>
            <w:sz w:val="23"/>
            <w:szCs w:val="23"/>
          </w:rPr>
          <w:t>http://www.hrsdc.gc.ca/eng/labour/equality/employment_equity/tools/annual_reports/2010/page00.shtml</w:t>
        </w:r>
      </w:hyperlink>
    </w:p>
    <w:p w:rsidR="009F152F" w:rsidRPr="00BC22F7" w:rsidRDefault="009F152F">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t>Fidler</w:t>
      </w:r>
      <w:proofErr w:type="spellEnd"/>
      <w:r w:rsidRPr="00BC22F7">
        <w:rPr>
          <w:rFonts w:ascii="Tahoma" w:hAnsi="Tahoma" w:cs="Tahoma"/>
          <w:bCs/>
          <w:sz w:val="23"/>
          <w:szCs w:val="23"/>
        </w:rPr>
        <w:t xml:space="preserve">, C. (2010). </w:t>
      </w:r>
      <w:proofErr w:type="gramStart"/>
      <w:r w:rsidRPr="00BC22F7">
        <w:rPr>
          <w:rFonts w:ascii="Tahoma" w:hAnsi="Tahoma" w:cs="Tahoma"/>
          <w:bCs/>
          <w:sz w:val="23"/>
          <w:szCs w:val="23"/>
        </w:rPr>
        <w:t>Increasing the sustainability of a resource development: Aboriginal engagement and negotiated agreements.</w:t>
      </w:r>
      <w:proofErr w:type="gramEnd"/>
      <w:r w:rsidRPr="00BC22F7">
        <w:rPr>
          <w:rFonts w:ascii="Tahoma" w:hAnsi="Tahoma" w:cs="Tahoma"/>
          <w:bCs/>
          <w:sz w:val="23"/>
          <w:szCs w:val="23"/>
        </w:rPr>
        <w:t> </w:t>
      </w:r>
      <w:r w:rsidRPr="00BC22F7">
        <w:rPr>
          <w:rFonts w:ascii="Tahoma" w:hAnsi="Tahoma" w:cs="Tahoma"/>
          <w:bCs/>
          <w:i/>
          <w:sz w:val="23"/>
          <w:szCs w:val="23"/>
        </w:rPr>
        <w:t>Environment, Development and Sustainability, 12</w:t>
      </w:r>
      <w:r w:rsidRPr="00BC22F7">
        <w:rPr>
          <w:rFonts w:ascii="Tahoma" w:hAnsi="Tahoma" w:cs="Tahoma"/>
          <w:bCs/>
          <w:sz w:val="23"/>
          <w:szCs w:val="23"/>
        </w:rPr>
        <w:t>(2), 233-244.</w:t>
      </w:r>
      <w:r w:rsidRPr="00BC22F7" w:rsidDel="009D4F5F">
        <w:rPr>
          <w:rFonts w:ascii="Tahoma" w:hAnsi="Tahoma" w:cs="Tahoma"/>
          <w:bCs/>
          <w:sz w:val="23"/>
          <w:szCs w:val="23"/>
        </w:rPr>
        <w:t>Agocs, C. (2012).  Representative bureaucracy?  Employment equity in the public service of Canada.  Paper presented at the 2012 Annual Conference of the Canadian Political Science Association, Edmonton, June 13-15</w:t>
      </w:r>
      <w:r w:rsidRPr="00BC22F7">
        <w:rPr>
          <w:rFonts w:ascii="Tahoma" w:hAnsi="Tahoma" w:cs="Tahoma"/>
          <w:bCs/>
          <w:sz w:val="23"/>
          <w:szCs w:val="23"/>
        </w:rPr>
        <w:t xml:space="preserve"> </w:t>
      </w:r>
    </w:p>
    <w:p w:rsidR="009F152F" w:rsidRPr="00BC22F7" w:rsidRDefault="009F152F" w:rsidP="004B38CB">
      <w:pPr>
        <w:spacing w:after="0" w:line="240" w:lineRule="auto"/>
        <w:ind w:left="567" w:hanging="567"/>
        <w:rPr>
          <w:rFonts w:ascii="Tahoma" w:hAnsi="Tahoma" w:cs="Tahoma"/>
          <w:sz w:val="23"/>
          <w:szCs w:val="23"/>
        </w:rPr>
      </w:pPr>
      <w:r w:rsidRPr="00BC22F7">
        <w:rPr>
          <w:rFonts w:ascii="Tahoma" w:hAnsi="Tahoma" w:cs="Tahoma"/>
          <w:bCs/>
          <w:sz w:val="23"/>
          <w:szCs w:val="23"/>
        </w:rPr>
        <w:t xml:space="preserve">Globe and Mail (2012): Does Canada have a shortage of skills?  Does Canada have a labour shortage or a skills shortage?  </w:t>
      </w:r>
      <w:r w:rsidRPr="00BC22F7">
        <w:rPr>
          <w:rFonts w:ascii="Tahoma" w:hAnsi="Tahoma" w:cs="Tahoma"/>
          <w:sz w:val="23"/>
          <w:szCs w:val="23"/>
        </w:rPr>
        <w:t xml:space="preserve">Retrieved December 10, 2012 from </w:t>
      </w:r>
      <w:hyperlink r:id="rId13" w:history="1">
        <w:r w:rsidRPr="00BC22F7">
          <w:rPr>
            <w:rStyle w:val="Hyperlink"/>
            <w:rFonts w:ascii="Tahoma" w:hAnsi="Tahoma" w:cs="Tahoma"/>
            <w:sz w:val="23"/>
            <w:szCs w:val="23"/>
          </w:rPr>
          <w:t>http://www.theglobeandmail.com/report-on-business/economy/economy-lab/does-canada-have-a-labour-shortage-or-a-skills-shortage/article5992219/</w:t>
        </w:r>
      </w:hyperlink>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eastAsia="Calibri" w:hAnsi="Tahoma" w:cs="Tahoma"/>
          <w:bCs/>
          <w:sz w:val="23"/>
          <w:szCs w:val="23"/>
        </w:rPr>
        <w:t>Haq, R., &amp; Ng, E.S.W. (2010).</w:t>
      </w:r>
      <w:proofErr w:type="gramEnd"/>
      <w:r w:rsidRPr="00BC22F7">
        <w:rPr>
          <w:rFonts w:ascii="Tahoma" w:eastAsia="Calibri" w:hAnsi="Tahoma" w:cs="Tahoma"/>
          <w:bCs/>
          <w:sz w:val="23"/>
          <w:szCs w:val="23"/>
        </w:rPr>
        <w:t xml:space="preserve">  </w:t>
      </w:r>
      <w:proofErr w:type="gramStart"/>
      <w:r w:rsidRPr="00BC22F7">
        <w:rPr>
          <w:rFonts w:ascii="Tahoma" w:eastAsia="Calibri" w:hAnsi="Tahoma" w:cs="Tahoma"/>
          <w:bCs/>
          <w:sz w:val="23"/>
          <w:szCs w:val="23"/>
        </w:rPr>
        <w:t>Employment equity and workplace diversity in Canada.</w:t>
      </w:r>
      <w:proofErr w:type="gramEnd"/>
      <w:r w:rsidRPr="00BC22F7">
        <w:rPr>
          <w:rFonts w:ascii="Tahoma" w:eastAsia="Calibri" w:hAnsi="Tahoma" w:cs="Tahoma"/>
          <w:bCs/>
          <w:sz w:val="23"/>
          <w:szCs w:val="23"/>
        </w:rPr>
        <w:t xml:space="preserve">  In A. </w:t>
      </w:r>
      <w:proofErr w:type="spellStart"/>
      <w:r w:rsidRPr="00BC22F7">
        <w:rPr>
          <w:rFonts w:ascii="Tahoma" w:eastAsia="Calibri" w:hAnsi="Tahoma" w:cs="Tahoma"/>
          <w:bCs/>
          <w:sz w:val="23"/>
          <w:szCs w:val="23"/>
        </w:rPr>
        <w:t>Klarsfeld</w:t>
      </w:r>
      <w:proofErr w:type="spellEnd"/>
      <w:r w:rsidRPr="00BC22F7">
        <w:rPr>
          <w:rFonts w:ascii="Tahoma" w:eastAsia="Calibri" w:hAnsi="Tahoma" w:cs="Tahoma"/>
          <w:bCs/>
          <w:sz w:val="23"/>
          <w:szCs w:val="23"/>
        </w:rPr>
        <w:t xml:space="preserve"> (Ed.), </w:t>
      </w:r>
      <w:r w:rsidRPr="00BC22F7">
        <w:rPr>
          <w:rFonts w:ascii="Tahoma" w:eastAsia="Calibri" w:hAnsi="Tahoma" w:cs="Tahoma"/>
          <w:bCs/>
          <w:i/>
          <w:sz w:val="23"/>
          <w:szCs w:val="23"/>
        </w:rPr>
        <w:t>International handbook on diversity management at work: Country perspectives on diversity and equal treatment.</w:t>
      </w:r>
      <w:r w:rsidRPr="00BC22F7">
        <w:rPr>
          <w:rFonts w:ascii="Tahoma" w:eastAsia="Calibri" w:hAnsi="Tahoma" w:cs="Tahoma"/>
          <w:bCs/>
          <w:sz w:val="23"/>
          <w:szCs w:val="23"/>
        </w:rPr>
        <w:t xml:space="preserve">  </w:t>
      </w:r>
      <w:proofErr w:type="spellStart"/>
      <w:r w:rsidRPr="00BC22F7">
        <w:rPr>
          <w:rFonts w:ascii="Tahoma" w:hAnsi="Tahoma" w:cs="Tahoma"/>
          <w:bCs/>
          <w:sz w:val="23"/>
          <w:szCs w:val="23"/>
        </w:rPr>
        <w:t>Cheltenhem</w:t>
      </w:r>
      <w:proofErr w:type="spellEnd"/>
      <w:r w:rsidRPr="00BC22F7">
        <w:rPr>
          <w:rFonts w:ascii="Tahoma" w:hAnsi="Tahoma" w:cs="Tahoma"/>
          <w:bCs/>
          <w:sz w:val="23"/>
          <w:szCs w:val="23"/>
        </w:rPr>
        <w:t>: Edward Elgar.</w:t>
      </w:r>
    </w:p>
    <w:p w:rsidR="009F152F" w:rsidRPr="00BC22F7" w:rsidRDefault="009F152F">
      <w:pPr>
        <w:spacing w:after="0" w:line="240" w:lineRule="auto"/>
        <w:ind w:left="567" w:hanging="567"/>
        <w:rPr>
          <w:rFonts w:ascii="Tahoma" w:hAnsi="Tahoma" w:cs="Tahoma"/>
          <w:bCs/>
          <w:sz w:val="23"/>
          <w:szCs w:val="23"/>
        </w:rPr>
      </w:pPr>
      <w:proofErr w:type="spellStart"/>
      <w:proofErr w:type="gramStart"/>
      <w:r w:rsidRPr="00BC22F7">
        <w:rPr>
          <w:rFonts w:ascii="Tahoma" w:hAnsi="Tahoma" w:cs="Tahoma"/>
          <w:bCs/>
          <w:sz w:val="23"/>
          <w:szCs w:val="23"/>
        </w:rPr>
        <w:t>Highhouse</w:t>
      </w:r>
      <w:proofErr w:type="spellEnd"/>
      <w:r w:rsidRPr="00BC22F7">
        <w:rPr>
          <w:rFonts w:ascii="Tahoma" w:hAnsi="Tahoma" w:cs="Tahoma"/>
          <w:bCs/>
          <w:sz w:val="23"/>
          <w:szCs w:val="23"/>
        </w:rPr>
        <w:t xml:space="preserve">, S., </w:t>
      </w:r>
      <w:proofErr w:type="spellStart"/>
      <w:r w:rsidRPr="00BC22F7">
        <w:rPr>
          <w:rFonts w:ascii="Tahoma" w:hAnsi="Tahoma" w:cs="Tahoma"/>
          <w:bCs/>
          <w:sz w:val="23"/>
          <w:szCs w:val="23"/>
        </w:rPr>
        <w:t>Stierwalt</w:t>
      </w:r>
      <w:proofErr w:type="spellEnd"/>
      <w:r w:rsidRPr="00BC22F7">
        <w:rPr>
          <w:rFonts w:ascii="Tahoma" w:hAnsi="Tahoma" w:cs="Tahoma"/>
          <w:bCs/>
          <w:sz w:val="23"/>
          <w:szCs w:val="23"/>
        </w:rPr>
        <w:t xml:space="preserve">, S. L., </w:t>
      </w:r>
      <w:proofErr w:type="spellStart"/>
      <w:r w:rsidRPr="00BC22F7">
        <w:rPr>
          <w:rFonts w:ascii="Tahoma" w:hAnsi="Tahoma" w:cs="Tahoma"/>
          <w:bCs/>
          <w:sz w:val="23"/>
          <w:szCs w:val="23"/>
        </w:rPr>
        <w:t>Bachiochi</w:t>
      </w:r>
      <w:proofErr w:type="spellEnd"/>
      <w:r w:rsidRPr="00BC22F7">
        <w:rPr>
          <w:rFonts w:ascii="Tahoma" w:hAnsi="Tahoma" w:cs="Tahoma"/>
          <w:bCs/>
          <w:sz w:val="23"/>
          <w:szCs w:val="23"/>
        </w:rPr>
        <w:t>, P., Elder, A. E., &amp; Fisher, G. (1999).</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Effects of advertised human resource management practices on attraction of African American applicants.</w:t>
      </w:r>
      <w:proofErr w:type="gramEnd"/>
      <w:r w:rsidRPr="00BC22F7">
        <w:rPr>
          <w:rFonts w:ascii="Tahoma" w:hAnsi="Tahoma" w:cs="Tahoma"/>
          <w:bCs/>
          <w:sz w:val="23"/>
          <w:szCs w:val="23"/>
        </w:rPr>
        <w:t> </w:t>
      </w:r>
      <w:r w:rsidRPr="00BC22F7">
        <w:rPr>
          <w:rFonts w:ascii="Tahoma" w:hAnsi="Tahoma" w:cs="Tahoma"/>
          <w:bCs/>
          <w:i/>
          <w:sz w:val="23"/>
          <w:szCs w:val="23"/>
        </w:rPr>
        <w:t>Personnel Psychology, 52</w:t>
      </w:r>
      <w:r w:rsidRPr="00BC22F7">
        <w:rPr>
          <w:rFonts w:ascii="Tahoma" w:hAnsi="Tahoma" w:cs="Tahoma"/>
          <w:bCs/>
          <w:sz w:val="23"/>
          <w:szCs w:val="23"/>
        </w:rPr>
        <w:t xml:space="preserve">(2), 425-442. </w:t>
      </w:r>
    </w:p>
    <w:p w:rsidR="009F152F" w:rsidRPr="00BC22F7" w:rsidRDefault="009F152F">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Houston, D. J. (2000).</w:t>
      </w:r>
      <w:proofErr w:type="gramEnd"/>
      <w:r w:rsidRPr="00BC22F7">
        <w:rPr>
          <w:rFonts w:ascii="Tahoma" w:hAnsi="Tahoma" w:cs="Tahoma"/>
          <w:bCs/>
          <w:sz w:val="23"/>
          <w:szCs w:val="23"/>
        </w:rPr>
        <w:t xml:space="preserve"> Public-service motivation: A multivariate test. </w:t>
      </w:r>
      <w:r w:rsidRPr="00BC22F7">
        <w:rPr>
          <w:rFonts w:ascii="Tahoma" w:hAnsi="Tahoma" w:cs="Tahoma"/>
          <w:bCs/>
          <w:i/>
          <w:sz w:val="23"/>
          <w:szCs w:val="23"/>
        </w:rPr>
        <w:t>Journal of Public Administration Research and Theory, 10</w:t>
      </w:r>
      <w:r w:rsidRPr="00BC22F7">
        <w:rPr>
          <w:rFonts w:ascii="Tahoma" w:hAnsi="Tahoma" w:cs="Tahoma"/>
          <w:bCs/>
          <w:sz w:val="23"/>
          <w:szCs w:val="23"/>
        </w:rPr>
        <w:t xml:space="preserve">(4), 713-727. </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Houston, D. J. (2011).</w:t>
      </w:r>
      <w:proofErr w:type="gramEnd"/>
      <w:r w:rsidRPr="00BC22F7">
        <w:rPr>
          <w:rFonts w:ascii="Tahoma" w:hAnsi="Tahoma" w:cs="Tahoma"/>
          <w:bCs/>
          <w:sz w:val="23"/>
          <w:szCs w:val="23"/>
        </w:rPr>
        <w:t xml:space="preserve"> Implications of occupational locus and focus for public service motivation: Attitudes toward work motives across nations. </w:t>
      </w:r>
      <w:r w:rsidRPr="00BC22F7">
        <w:rPr>
          <w:rFonts w:ascii="Tahoma" w:hAnsi="Tahoma" w:cs="Tahoma"/>
          <w:bCs/>
          <w:i/>
          <w:sz w:val="23"/>
          <w:szCs w:val="23"/>
        </w:rPr>
        <w:t>Public Administration Review, 71</w:t>
      </w:r>
      <w:r w:rsidRPr="00BC22F7">
        <w:rPr>
          <w:rFonts w:ascii="Tahoma" w:hAnsi="Tahoma" w:cs="Tahoma"/>
          <w:bCs/>
          <w:sz w:val="23"/>
          <w:szCs w:val="23"/>
        </w:rPr>
        <w:t>(5), 761-771.</w:t>
      </w:r>
    </w:p>
    <w:p w:rsidR="009F152F" w:rsidRPr="00BC22F7" w:rsidRDefault="009F152F">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t>Jurkiewicz</w:t>
      </w:r>
      <w:proofErr w:type="spellEnd"/>
      <w:r w:rsidRPr="00BC22F7">
        <w:rPr>
          <w:rFonts w:ascii="Tahoma" w:hAnsi="Tahoma" w:cs="Tahoma"/>
          <w:bCs/>
          <w:sz w:val="23"/>
          <w:szCs w:val="23"/>
        </w:rPr>
        <w:t xml:space="preserve">, C. L., </w:t>
      </w:r>
      <w:proofErr w:type="spellStart"/>
      <w:r w:rsidRPr="00BC22F7">
        <w:rPr>
          <w:rFonts w:ascii="Tahoma" w:hAnsi="Tahoma" w:cs="Tahoma"/>
          <w:bCs/>
          <w:sz w:val="23"/>
          <w:szCs w:val="23"/>
        </w:rPr>
        <w:t>Massey</w:t>
      </w:r>
      <w:proofErr w:type="gramStart"/>
      <w:r w:rsidRPr="00BC22F7">
        <w:rPr>
          <w:rFonts w:ascii="Tahoma" w:hAnsi="Tahoma" w:cs="Tahoma"/>
          <w:bCs/>
          <w:sz w:val="23"/>
          <w:szCs w:val="23"/>
        </w:rPr>
        <w:t>,Tom</w:t>
      </w:r>
      <w:proofErr w:type="spellEnd"/>
      <w:proofErr w:type="gramEnd"/>
      <w:r w:rsidRPr="00BC22F7">
        <w:rPr>
          <w:rFonts w:ascii="Tahoma" w:hAnsi="Tahoma" w:cs="Tahoma"/>
          <w:bCs/>
          <w:sz w:val="23"/>
          <w:szCs w:val="23"/>
        </w:rPr>
        <w:t xml:space="preserve"> </w:t>
      </w:r>
      <w:proofErr w:type="spellStart"/>
      <w:r w:rsidRPr="00BC22F7">
        <w:rPr>
          <w:rFonts w:ascii="Tahoma" w:hAnsi="Tahoma" w:cs="Tahoma"/>
          <w:bCs/>
          <w:sz w:val="23"/>
          <w:szCs w:val="23"/>
        </w:rPr>
        <w:t>K.,,Jr</w:t>
      </w:r>
      <w:proofErr w:type="spellEnd"/>
      <w:r w:rsidRPr="00BC22F7">
        <w:rPr>
          <w:rFonts w:ascii="Tahoma" w:hAnsi="Tahoma" w:cs="Tahoma"/>
          <w:bCs/>
          <w:sz w:val="23"/>
          <w:szCs w:val="23"/>
        </w:rPr>
        <w:t>, &amp; Brown, R. G. (1998). Motivation in public and private organizations: A comparative study. </w:t>
      </w:r>
      <w:r w:rsidRPr="00BC22F7">
        <w:rPr>
          <w:rFonts w:ascii="Tahoma" w:hAnsi="Tahoma" w:cs="Tahoma"/>
          <w:bCs/>
          <w:i/>
          <w:sz w:val="23"/>
          <w:szCs w:val="23"/>
        </w:rPr>
        <w:t>Public Productivity &amp; Management Review, 21</w:t>
      </w:r>
      <w:r w:rsidRPr="00BC22F7">
        <w:rPr>
          <w:rFonts w:ascii="Tahoma" w:hAnsi="Tahoma" w:cs="Tahoma"/>
          <w:bCs/>
          <w:sz w:val="23"/>
          <w:szCs w:val="23"/>
        </w:rPr>
        <w:t>(3), 230-250.</w:t>
      </w:r>
    </w:p>
    <w:p w:rsidR="009F152F" w:rsidRPr="00BC22F7" w:rsidRDefault="009F152F" w:rsidP="004B38CB">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t>Jurkiewicz</w:t>
      </w:r>
      <w:proofErr w:type="spellEnd"/>
      <w:r w:rsidRPr="00BC22F7">
        <w:rPr>
          <w:rFonts w:ascii="Tahoma" w:hAnsi="Tahoma" w:cs="Tahoma"/>
          <w:bCs/>
          <w:sz w:val="23"/>
          <w:szCs w:val="23"/>
        </w:rPr>
        <w:t xml:space="preserve">, C.L. (2000). </w:t>
      </w:r>
      <w:proofErr w:type="gramStart"/>
      <w:r w:rsidRPr="00BC22F7">
        <w:rPr>
          <w:rFonts w:ascii="Tahoma" w:hAnsi="Tahoma" w:cs="Tahoma"/>
          <w:bCs/>
          <w:sz w:val="23"/>
          <w:szCs w:val="23"/>
        </w:rPr>
        <w:t>Generation X and the public employee.</w:t>
      </w:r>
      <w:proofErr w:type="gramEnd"/>
      <w:r w:rsidRPr="00BC22F7">
        <w:rPr>
          <w:rFonts w:ascii="Tahoma" w:hAnsi="Tahoma" w:cs="Tahoma"/>
          <w:bCs/>
          <w:sz w:val="23"/>
          <w:szCs w:val="23"/>
        </w:rPr>
        <w:t> </w:t>
      </w:r>
      <w:r w:rsidRPr="00BC22F7">
        <w:rPr>
          <w:rFonts w:ascii="Tahoma" w:hAnsi="Tahoma" w:cs="Tahoma"/>
          <w:bCs/>
          <w:i/>
          <w:sz w:val="23"/>
          <w:szCs w:val="23"/>
        </w:rPr>
        <w:t>Public Personnel Management, 29</w:t>
      </w:r>
      <w:r w:rsidRPr="00BC22F7">
        <w:rPr>
          <w:rFonts w:ascii="Tahoma" w:hAnsi="Tahoma" w:cs="Tahoma"/>
          <w:bCs/>
          <w:sz w:val="23"/>
          <w:szCs w:val="23"/>
        </w:rPr>
        <w:t>(1), 55-74.</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 xml:space="preserve">Karl, K., </w:t>
      </w:r>
      <w:proofErr w:type="spellStart"/>
      <w:r w:rsidRPr="00BC22F7">
        <w:rPr>
          <w:rFonts w:ascii="Tahoma" w:hAnsi="Tahoma" w:cs="Tahoma"/>
          <w:bCs/>
          <w:sz w:val="23"/>
          <w:szCs w:val="23"/>
        </w:rPr>
        <w:t>Peluchette</w:t>
      </w:r>
      <w:proofErr w:type="spellEnd"/>
      <w:r w:rsidRPr="00BC22F7">
        <w:rPr>
          <w:rFonts w:ascii="Tahoma" w:hAnsi="Tahoma" w:cs="Tahoma"/>
          <w:bCs/>
          <w:sz w:val="23"/>
          <w:szCs w:val="23"/>
        </w:rPr>
        <w:t>, J., Hall, L., &amp; Harland, L. (2005).</w:t>
      </w:r>
      <w:proofErr w:type="gramEnd"/>
      <w:r w:rsidRPr="00BC22F7">
        <w:rPr>
          <w:rFonts w:ascii="Tahoma" w:hAnsi="Tahoma" w:cs="Tahoma"/>
          <w:bCs/>
          <w:sz w:val="23"/>
          <w:szCs w:val="23"/>
        </w:rPr>
        <w:t xml:space="preserve"> Attitudes toward workplace fun: A three sector comparison. </w:t>
      </w:r>
      <w:r w:rsidRPr="00BC22F7">
        <w:rPr>
          <w:rFonts w:ascii="Tahoma" w:hAnsi="Tahoma" w:cs="Tahoma"/>
          <w:bCs/>
          <w:i/>
          <w:sz w:val="23"/>
          <w:szCs w:val="23"/>
        </w:rPr>
        <w:t>Journal of Leadership &amp; Organizational Studies, 12</w:t>
      </w:r>
      <w:r w:rsidRPr="00BC22F7">
        <w:rPr>
          <w:rFonts w:ascii="Tahoma" w:hAnsi="Tahoma" w:cs="Tahoma"/>
          <w:bCs/>
          <w:sz w:val="23"/>
          <w:szCs w:val="23"/>
        </w:rPr>
        <w:t>(2), 1-17.</w:t>
      </w:r>
    </w:p>
    <w:p w:rsidR="009F152F" w:rsidRPr="00BC22F7" w:rsidRDefault="009F152F" w:rsidP="00664234">
      <w:pPr>
        <w:spacing w:after="0" w:line="240" w:lineRule="auto"/>
        <w:ind w:left="567" w:hanging="567"/>
        <w:rPr>
          <w:rFonts w:ascii="Tahoma" w:hAnsi="Tahoma" w:cs="Tahoma"/>
          <w:bCs/>
          <w:sz w:val="23"/>
          <w:szCs w:val="23"/>
        </w:rPr>
      </w:pPr>
      <w:r w:rsidRPr="00BC22F7">
        <w:rPr>
          <w:rFonts w:ascii="Tahoma" w:hAnsi="Tahoma" w:cs="Tahoma"/>
          <w:bCs/>
          <w:sz w:val="23"/>
          <w:szCs w:val="23"/>
        </w:rPr>
        <w:t>Kendall, J. (2001). Circles of disadvantage: Aboriginal poverty and underdevelopment in Canada. </w:t>
      </w:r>
      <w:r w:rsidRPr="00BC22F7">
        <w:rPr>
          <w:rFonts w:ascii="Tahoma" w:hAnsi="Tahoma" w:cs="Tahoma"/>
          <w:bCs/>
          <w:i/>
          <w:sz w:val="23"/>
          <w:szCs w:val="23"/>
        </w:rPr>
        <w:t>The American Review of Canadian Studies, 31</w:t>
      </w:r>
      <w:r w:rsidRPr="00BC22F7">
        <w:rPr>
          <w:rFonts w:ascii="Tahoma" w:hAnsi="Tahoma" w:cs="Tahoma"/>
          <w:bCs/>
          <w:sz w:val="23"/>
          <w:szCs w:val="23"/>
        </w:rPr>
        <w:t>(1), 43-59.</w:t>
      </w:r>
    </w:p>
    <w:p w:rsidR="009F152F" w:rsidRPr="00BC22F7" w:rsidRDefault="009F152F" w:rsidP="004B38CB">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lastRenderedPageBreak/>
        <w:t>Kernaghan</w:t>
      </w:r>
      <w:proofErr w:type="spellEnd"/>
      <w:r w:rsidRPr="00BC22F7">
        <w:rPr>
          <w:rFonts w:ascii="Tahoma" w:hAnsi="Tahoma" w:cs="Tahoma"/>
          <w:bCs/>
          <w:sz w:val="23"/>
          <w:szCs w:val="23"/>
        </w:rPr>
        <w:t xml:space="preserve">, K. (1978), Representative bureaucracy: the Canadian perspective. </w:t>
      </w:r>
      <w:r w:rsidRPr="00BC22F7">
        <w:rPr>
          <w:rFonts w:ascii="Tahoma" w:hAnsi="Tahoma" w:cs="Tahoma"/>
          <w:bCs/>
          <w:i/>
          <w:sz w:val="23"/>
          <w:szCs w:val="23"/>
        </w:rPr>
        <w:t>Canadian Public Administration, 21</w:t>
      </w:r>
      <w:r w:rsidRPr="00BC22F7">
        <w:rPr>
          <w:rFonts w:ascii="Tahoma" w:hAnsi="Tahoma" w:cs="Tahoma"/>
          <w:bCs/>
          <w:sz w:val="23"/>
          <w:szCs w:val="23"/>
        </w:rPr>
        <w:t xml:space="preserve">(4), 489–512. </w:t>
      </w:r>
    </w:p>
    <w:p w:rsidR="009F152F" w:rsidRPr="00BC22F7" w:rsidRDefault="009F152F" w:rsidP="004B38CB">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Kim, S. (2009). </w:t>
      </w:r>
      <w:proofErr w:type="gramStart"/>
      <w:r w:rsidRPr="00BC22F7">
        <w:rPr>
          <w:rFonts w:ascii="Tahoma" w:hAnsi="Tahoma" w:cs="Tahoma"/>
          <w:bCs/>
          <w:sz w:val="23"/>
          <w:szCs w:val="23"/>
        </w:rPr>
        <w:t>Revising Perry's measurement scale of public service motivation.</w:t>
      </w:r>
      <w:proofErr w:type="gramEnd"/>
      <w:r w:rsidRPr="00BC22F7">
        <w:rPr>
          <w:rFonts w:ascii="Tahoma" w:hAnsi="Tahoma" w:cs="Tahoma"/>
          <w:bCs/>
          <w:sz w:val="23"/>
          <w:szCs w:val="23"/>
        </w:rPr>
        <w:t> </w:t>
      </w:r>
      <w:r w:rsidRPr="00BC22F7">
        <w:rPr>
          <w:rFonts w:ascii="Tahoma" w:hAnsi="Tahoma" w:cs="Tahoma"/>
          <w:bCs/>
          <w:i/>
          <w:sz w:val="23"/>
          <w:szCs w:val="23"/>
        </w:rPr>
        <w:t>American</w:t>
      </w:r>
      <w:r w:rsidRPr="00BC22F7">
        <w:rPr>
          <w:rFonts w:ascii="Tahoma" w:hAnsi="Tahoma" w:cs="Tahoma"/>
          <w:bCs/>
          <w:sz w:val="23"/>
          <w:szCs w:val="23"/>
        </w:rPr>
        <w:t xml:space="preserve"> </w:t>
      </w:r>
      <w:r w:rsidRPr="00BC22F7">
        <w:rPr>
          <w:rFonts w:ascii="Tahoma" w:hAnsi="Tahoma" w:cs="Tahoma"/>
          <w:bCs/>
          <w:i/>
          <w:sz w:val="23"/>
          <w:szCs w:val="23"/>
        </w:rPr>
        <w:t>Review of Public Administration</w:t>
      </w:r>
      <w:proofErr w:type="gramStart"/>
      <w:r w:rsidRPr="00BC22F7">
        <w:rPr>
          <w:rFonts w:ascii="Tahoma" w:hAnsi="Tahoma" w:cs="Tahoma"/>
          <w:bCs/>
          <w:i/>
          <w:sz w:val="23"/>
          <w:szCs w:val="23"/>
        </w:rPr>
        <w:t>,39</w:t>
      </w:r>
      <w:proofErr w:type="gramEnd"/>
      <w:r w:rsidRPr="00BC22F7">
        <w:rPr>
          <w:rFonts w:ascii="Tahoma" w:hAnsi="Tahoma" w:cs="Tahoma"/>
          <w:bCs/>
          <w:sz w:val="23"/>
          <w:szCs w:val="23"/>
        </w:rPr>
        <w:t>(2), 149-163.</w:t>
      </w:r>
    </w:p>
    <w:p w:rsidR="009F152F" w:rsidRPr="00BC22F7" w:rsidRDefault="009F152F" w:rsidP="004B38CB">
      <w:pPr>
        <w:spacing w:after="0" w:line="240" w:lineRule="auto"/>
        <w:ind w:left="567" w:hanging="567"/>
        <w:rPr>
          <w:rFonts w:ascii="Tahoma" w:eastAsia="Calibri" w:hAnsi="Tahoma" w:cs="Tahoma"/>
          <w:bCs/>
          <w:sz w:val="23"/>
          <w:szCs w:val="23"/>
        </w:rPr>
      </w:pPr>
      <w:r w:rsidRPr="00BC22F7">
        <w:rPr>
          <w:rFonts w:ascii="Tahoma" w:eastAsia="Calibri" w:hAnsi="Tahoma" w:cs="Tahoma"/>
          <w:sz w:val="23"/>
          <w:szCs w:val="23"/>
        </w:rPr>
        <w:t xml:space="preserve">Kim, S. (2011).  Testing a Revised Measure of Public Service Motivation: Reflective versus Formative Specification.  </w:t>
      </w:r>
      <w:r w:rsidRPr="00BC22F7">
        <w:rPr>
          <w:rFonts w:ascii="Tahoma" w:eastAsia="Calibri" w:hAnsi="Tahoma" w:cs="Tahoma"/>
          <w:bCs/>
          <w:i/>
          <w:sz w:val="23"/>
          <w:szCs w:val="23"/>
        </w:rPr>
        <w:t>Journal of Public Administration Research and Theory, 21</w:t>
      </w:r>
      <w:r w:rsidRPr="00BC22F7">
        <w:rPr>
          <w:rFonts w:ascii="Tahoma" w:eastAsia="Calibri" w:hAnsi="Tahoma" w:cs="Tahoma"/>
          <w:bCs/>
          <w:sz w:val="23"/>
          <w:szCs w:val="23"/>
        </w:rPr>
        <w:t>(3), 521-546.</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Kim, S. (2012). Does person-organization fit matter in the public sector? </w:t>
      </w:r>
      <w:r w:rsidRPr="00BC22F7" w:rsidDel="00F767BB">
        <w:rPr>
          <w:rFonts w:ascii="Tahoma" w:hAnsi="Tahoma" w:cs="Tahoma"/>
          <w:bCs/>
          <w:sz w:val="23"/>
          <w:szCs w:val="23"/>
        </w:rPr>
        <w:t xml:space="preserve">testing </w:t>
      </w:r>
      <w:proofErr w:type="spellStart"/>
      <w:r w:rsidRPr="00BC22F7">
        <w:rPr>
          <w:rFonts w:ascii="Tahoma" w:hAnsi="Tahoma" w:cs="Tahoma"/>
          <w:bCs/>
          <w:sz w:val="23"/>
          <w:szCs w:val="23"/>
        </w:rPr>
        <w:t>Testing</w:t>
      </w:r>
      <w:proofErr w:type="spellEnd"/>
      <w:r w:rsidRPr="00BC22F7">
        <w:rPr>
          <w:rFonts w:ascii="Tahoma" w:hAnsi="Tahoma" w:cs="Tahoma"/>
          <w:bCs/>
          <w:sz w:val="23"/>
          <w:szCs w:val="23"/>
        </w:rPr>
        <w:t xml:space="preserve"> the mediating effect of person-organization fit in the relationship between public service motivation and work attitudes. </w:t>
      </w:r>
      <w:r w:rsidRPr="00BC22F7">
        <w:rPr>
          <w:rFonts w:ascii="Tahoma" w:hAnsi="Tahoma" w:cs="Tahoma"/>
          <w:bCs/>
          <w:i/>
          <w:sz w:val="23"/>
          <w:szCs w:val="23"/>
        </w:rPr>
        <w:t>Public Administration Review, 72</w:t>
      </w:r>
      <w:r w:rsidRPr="00BC22F7">
        <w:rPr>
          <w:rFonts w:ascii="Tahoma" w:hAnsi="Tahoma" w:cs="Tahoma"/>
          <w:bCs/>
          <w:sz w:val="23"/>
          <w:szCs w:val="23"/>
        </w:rPr>
        <w:t xml:space="preserve">(6), 830-840. </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 xml:space="preserve">Kim, S., &amp; </w:t>
      </w:r>
      <w:proofErr w:type="spellStart"/>
      <w:r w:rsidRPr="00BC22F7">
        <w:rPr>
          <w:rFonts w:ascii="Tahoma" w:hAnsi="Tahoma" w:cs="Tahoma"/>
          <w:bCs/>
          <w:sz w:val="23"/>
          <w:szCs w:val="23"/>
        </w:rPr>
        <w:t>Vandenabeele</w:t>
      </w:r>
      <w:proofErr w:type="spellEnd"/>
      <w:r w:rsidRPr="00BC22F7">
        <w:rPr>
          <w:rFonts w:ascii="Tahoma" w:hAnsi="Tahoma" w:cs="Tahoma"/>
          <w:bCs/>
          <w:sz w:val="23"/>
          <w:szCs w:val="23"/>
        </w:rPr>
        <w:t>, W. (2010).</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A strategy for building public service motivation research internationally.</w:t>
      </w:r>
      <w:proofErr w:type="gramEnd"/>
      <w:r w:rsidRPr="00BC22F7">
        <w:rPr>
          <w:rFonts w:ascii="Tahoma" w:hAnsi="Tahoma" w:cs="Tahoma"/>
          <w:bCs/>
          <w:sz w:val="23"/>
          <w:szCs w:val="23"/>
        </w:rPr>
        <w:t> </w:t>
      </w:r>
      <w:r w:rsidRPr="00BC22F7">
        <w:rPr>
          <w:rFonts w:ascii="Tahoma" w:hAnsi="Tahoma" w:cs="Tahoma"/>
          <w:bCs/>
          <w:i/>
          <w:sz w:val="23"/>
          <w:szCs w:val="23"/>
        </w:rPr>
        <w:t>Public Administration Review, 70</w:t>
      </w:r>
      <w:r w:rsidRPr="00BC22F7">
        <w:rPr>
          <w:rFonts w:ascii="Tahoma" w:hAnsi="Tahoma" w:cs="Tahoma"/>
          <w:bCs/>
          <w:sz w:val="23"/>
          <w:szCs w:val="23"/>
        </w:rPr>
        <w:t>(5), 701-709.</w:t>
      </w:r>
    </w:p>
    <w:p w:rsidR="009F152F" w:rsidRPr="00BC22F7" w:rsidRDefault="009F152F" w:rsidP="004B38CB">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Kim, S., </w:t>
      </w:r>
      <w:proofErr w:type="spellStart"/>
      <w:r w:rsidRPr="00BC22F7">
        <w:rPr>
          <w:rFonts w:ascii="Tahoma" w:hAnsi="Tahoma" w:cs="Tahoma"/>
          <w:bCs/>
          <w:sz w:val="23"/>
          <w:szCs w:val="23"/>
        </w:rPr>
        <w:t>Vandenabeele</w:t>
      </w:r>
      <w:proofErr w:type="spellEnd"/>
      <w:r w:rsidRPr="00BC22F7">
        <w:rPr>
          <w:rFonts w:ascii="Tahoma" w:hAnsi="Tahoma" w:cs="Tahoma"/>
          <w:bCs/>
          <w:sz w:val="23"/>
          <w:szCs w:val="23"/>
        </w:rPr>
        <w:t xml:space="preserve">, W., Wright, B. E., Andersen, L. B., </w:t>
      </w:r>
      <w:proofErr w:type="spellStart"/>
      <w:r w:rsidRPr="00BC22F7">
        <w:rPr>
          <w:rFonts w:ascii="Tahoma" w:hAnsi="Tahoma" w:cs="Tahoma"/>
          <w:bCs/>
          <w:sz w:val="23"/>
          <w:szCs w:val="23"/>
        </w:rPr>
        <w:t>Cerase</w:t>
      </w:r>
      <w:proofErr w:type="spellEnd"/>
      <w:r w:rsidRPr="00BC22F7">
        <w:rPr>
          <w:rFonts w:ascii="Tahoma" w:hAnsi="Tahoma" w:cs="Tahoma"/>
          <w:bCs/>
          <w:sz w:val="23"/>
          <w:szCs w:val="23"/>
        </w:rPr>
        <w:t xml:space="preserve">, F. P., Christensen, R. K., </w:t>
      </w:r>
      <w:proofErr w:type="spellStart"/>
      <w:r w:rsidRPr="00BC22F7">
        <w:rPr>
          <w:rFonts w:ascii="Tahoma" w:hAnsi="Tahoma" w:cs="Tahoma"/>
          <w:bCs/>
          <w:sz w:val="23"/>
          <w:szCs w:val="23"/>
        </w:rPr>
        <w:t>Demarais</w:t>
      </w:r>
      <w:proofErr w:type="spellEnd"/>
      <w:r w:rsidRPr="00BC22F7">
        <w:rPr>
          <w:rFonts w:ascii="Tahoma" w:hAnsi="Tahoma" w:cs="Tahoma"/>
          <w:bCs/>
          <w:sz w:val="23"/>
          <w:szCs w:val="23"/>
        </w:rPr>
        <w:t xml:space="preserve">, C., </w:t>
      </w:r>
      <w:proofErr w:type="spellStart"/>
      <w:r w:rsidRPr="00BC22F7">
        <w:rPr>
          <w:rFonts w:ascii="Tahoma" w:hAnsi="Tahoma" w:cs="Tahoma"/>
          <w:bCs/>
          <w:sz w:val="23"/>
          <w:szCs w:val="23"/>
        </w:rPr>
        <w:t>Koumenta</w:t>
      </w:r>
      <w:proofErr w:type="spellEnd"/>
      <w:r w:rsidRPr="00BC22F7">
        <w:rPr>
          <w:rFonts w:ascii="Tahoma" w:hAnsi="Tahoma" w:cs="Tahoma"/>
          <w:bCs/>
          <w:sz w:val="23"/>
          <w:szCs w:val="23"/>
        </w:rPr>
        <w:t xml:space="preserve">, M., </w:t>
      </w:r>
      <w:proofErr w:type="spellStart"/>
      <w:r w:rsidRPr="00BC22F7">
        <w:rPr>
          <w:rFonts w:ascii="Tahoma" w:hAnsi="Tahoma" w:cs="Tahoma"/>
          <w:bCs/>
          <w:sz w:val="23"/>
          <w:szCs w:val="23"/>
        </w:rPr>
        <w:t>Leisink</w:t>
      </w:r>
      <w:proofErr w:type="spellEnd"/>
      <w:r w:rsidRPr="00BC22F7">
        <w:rPr>
          <w:rFonts w:ascii="Tahoma" w:hAnsi="Tahoma" w:cs="Tahoma"/>
          <w:bCs/>
          <w:sz w:val="23"/>
          <w:szCs w:val="23"/>
        </w:rPr>
        <w:t xml:space="preserve">, P., Liu, B.., </w:t>
      </w:r>
      <w:proofErr w:type="spellStart"/>
      <w:r w:rsidRPr="00BC22F7">
        <w:rPr>
          <w:rFonts w:ascii="Tahoma" w:hAnsi="Tahoma" w:cs="Tahoma"/>
          <w:bCs/>
          <w:sz w:val="23"/>
          <w:szCs w:val="23"/>
        </w:rPr>
        <w:t>Palidauskaite</w:t>
      </w:r>
      <w:proofErr w:type="spellEnd"/>
      <w:r w:rsidRPr="00BC22F7">
        <w:rPr>
          <w:rFonts w:ascii="Tahoma" w:hAnsi="Tahoma" w:cs="Tahoma"/>
          <w:bCs/>
          <w:sz w:val="23"/>
          <w:szCs w:val="23"/>
        </w:rPr>
        <w:t>, J., Pedersen, L.H., Perry, J., L., Ritz, A., Taylor, J., &amp; De Vivo, P. (2013). Investigating the structure and meaning of public service motivation across populations: Developing an international instrument and addressing issues of measurement invariance. </w:t>
      </w:r>
      <w:r w:rsidRPr="00BC22F7">
        <w:rPr>
          <w:rFonts w:ascii="Tahoma" w:hAnsi="Tahoma" w:cs="Tahoma"/>
          <w:bCs/>
          <w:i/>
          <w:sz w:val="23"/>
          <w:szCs w:val="23"/>
        </w:rPr>
        <w:t>Journal of Public Administration Research and Theory, 23</w:t>
      </w:r>
      <w:r w:rsidRPr="00BC22F7">
        <w:rPr>
          <w:rFonts w:ascii="Tahoma" w:hAnsi="Tahoma" w:cs="Tahoma"/>
          <w:bCs/>
          <w:sz w:val="23"/>
          <w:szCs w:val="23"/>
        </w:rPr>
        <w:t>(1), 79-102. </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Kingsley, J. D. (1944). </w:t>
      </w:r>
      <w:r w:rsidRPr="00BC22F7">
        <w:rPr>
          <w:rFonts w:ascii="Tahoma" w:hAnsi="Tahoma" w:cs="Tahoma"/>
          <w:bCs/>
          <w:i/>
          <w:sz w:val="23"/>
          <w:szCs w:val="23"/>
        </w:rPr>
        <w:t xml:space="preserve">Representative bureaucracy: An interpretation of the British civil service. </w:t>
      </w:r>
      <w:r w:rsidRPr="00BC22F7">
        <w:rPr>
          <w:rFonts w:ascii="Tahoma" w:hAnsi="Tahoma" w:cs="Tahoma"/>
          <w:bCs/>
          <w:sz w:val="23"/>
          <w:szCs w:val="23"/>
        </w:rPr>
        <w:t>Yellow Springs, OH: Antioch Press.</w:t>
      </w:r>
    </w:p>
    <w:p w:rsidR="009F152F" w:rsidRPr="00BC22F7" w:rsidRDefault="009F152F">
      <w:pPr>
        <w:spacing w:after="0" w:line="240" w:lineRule="auto"/>
        <w:ind w:left="567" w:hanging="567"/>
        <w:rPr>
          <w:rFonts w:ascii="Tahoma" w:hAnsi="Tahoma" w:cs="Tahoma"/>
          <w:bCs/>
          <w:i/>
          <w:sz w:val="23"/>
          <w:szCs w:val="23"/>
        </w:rPr>
      </w:pPr>
      <w:proofErr w:type="gramStart"/>
      <w:r w:rsidRPr="00BC22F7">
        <w:rPr>
          <w:rFonts w:ascii="Tahoma" w:hAnsi="Tahoma" w:cs="Tahoma"/>
          <w:bCs/>
          <w:sz w:val="23"/>
          <w:szCs w:val="23"/>
        </w:rPr>
        <w:t>Konrad, A.M., Moore, M.E., Ng, E.S.W., Doherty, A.J., &amp; Breward, K. (in press).</w:t>
      </w:r>
      <w:proofErr w:type="gramEnd"/>
      <w:r w:rsidRPr="00BC22F7">
        <w:rPr>
          <w:rFonts w:ascii="Tahoma" w:hAnsi="Tahoma" w:cs="Tahoma"/>
          <w:bCs/>
          <w:sz w:val="23"/>
          <w:szCs w:val="23"/>
        </w:rPr>
        <w:t xml:space="preserve"> </w:t>
      </w:r>
      <w:r w:rsidRPr="00BC22F7" w:rsidDel="00F767BB">
        <w:rPr>
          <w:rFonts w:ascii="Tahoma" w:hAnsi="Tahoma" w:cs="Tahoma"/>
          <w:bCs/>
          <w:sz w:val="23"/>
          <w:szCs w:val="23"/>
        </w:rPr>
        <w:t xml:space="preserve"> </w:t>
      </w:r>
      <w:r w:rsidRPr="00BC22F7">
        <w:rPr>
          <w:rFonts w:ascii="Tahoma" w:hAnsi="Tahoma" w:cs="Tahoma"/>
          <w:bCs/>
          <w:sz w:val="23"/>
          <w:szCs w:val="23"/>
        </w:rPr>
        <w:t xml:space="preserve">Temporary work, underemployment, and workplace accommodations:  Relationship to well-being for workers with disabilities.  </w:t>
      </w:r>
      <w:proofErr w:type="gramStart"/>
      <w:r w:rsidRPr="00BC22F7">
        <w:rPr>
          <w:rFonts w:ascii="Tahoma" w:hAnsi="Tahoma" w:cs="Tahoma"/>
          <w:bCs/>
          <w:i/>
          <w:sz w:val="23"/>
          <w:szCs w:val="23"/>
        </w:rPr>
        <w:t>British Journal of Management.</w:t>
      </w:r>
      <w:proofErr w:type="gramEnd"/>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Lewis, G. B., &amp; Cho, Y. J. (2011).</w:t>
      </w:r>
      <w:proofErr w:type="gramEnd"/>
      <w:r w:rsidRPr="00BC22F7">
        <w:rPr>
          <w:rFonts w:ascii="Tahoma" w:hAnsi="Tahoma" w:cs="Tahoma"/>
          <w:bCs/>
          <w:sz w:val="23"/>
          <w:szCs w:val="23"/>
        </w:rPr>
        <w:t xml:space="preserve"> The aging of the state government workforce: Trends and implications. </w:t>
      </w:r>
      <w:r w:rsidRPr="00BC22F7">
        <w:rPr>
          <w:rFonts w:ascii="Tahoma" w:hAnsi="Tahoma" w:cs="Tahoma"/>
          <w:bCs/>
          <w:i/>
          <w:sz w:val="23"/>
          <w:szCs w:val="23"/>
        </w:rPr>
        <w:t>American Review of Public Administration, 41</w:t>
      </w:r>
      <w:r w:rsidRPr="00BC22F7">
        <w:rPr>
          <w:rFonts w:ascii="Tahoma" w:hAnsi="Tahoma" w:cs="Tahoma"/>
          <w:bCs/>
          <w:sz w:val="23"/>
          <w:szCs w:val="23"/>
        </w:rPr>
        <w:t xml:space="preserve">(1), 48-60. </w:t>
      </w:r>
    </w:p>
    <w:p w:rsidR="009F152F" w:rsidRPr="00BC22F7" w:rsidRDefault="009F152F" w:rsidP="004B38CB">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Lewis, G. B., &amp; Pitts, D. W. (2011). </w:t>
      </w:r>
      <w:proofErr w:type="gramStart"/>
      <w:r w:rsidRPr="00BC22F7">
        <w:rPr>
          <w:rFonts w:ascii="Tahoma" w:hAnsi="Tahoma" w:cs="Tahoma"/>
          <w:bCs/>
          <w:sz w:val="23"/>
          <w:szCs w:val="23"/>
        </w:rPr>
        <w:t>Representation of lesbians and gay men in federal, state, and local bureaucracies.</w:t>
      </w:r>
      <w:proofErr w:type="gramEnd"/>
      <w:r w:rsidRPr="00BC22F7">
        <w:rPr>
          <w:rFonts w:ascii="Tahoma" w:hAnsi="Tahoma" w:cs="Tahoma"/>
          <w:bCs/>
          <w:sz w:val="23"/>
          <w:szCs w:val="23"/>
        </w:rPr>
        <w:t xml:space="preserve"> </w:t>
      </w:r>
      <w:r w:rsidRPr="00BC22F7">
        <w:rPr>
          <w:rFonts w:ascii="Tahoma" w:hAnsi="Tahoma" w:cs="Tahoma"/>
          <w:bCs/>
          <w:i/>
          <w:sz w:val="23"/>
          <w:szCs w:val="23"/>
        </w:rPr>
        <w:t>Journal of Public Administration Research and Theory, 21</w:t>
      </w:r>
      <w:r w:rsidRPr="00BC22F7">
        <w:rPr>
          <w:rFonts w:ascii="Tahoma" w:hAnsi="Tahoma" w:cs="Tahoma"/>
          <w:bCs/>
          <w:sz w:val="23"/>
          <w:szCs w:val="23"/>
        </w:rPr>
        <w:t>(1), 159-180.</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Lewis, G. B., &amp; Pitts, D. W. (2011). </w:t>
      </w:r>
      <w:proofErr w:type="gramStart"/>
      <w:r w:rsidRPr="00BC22F7">
        <w:rPr>
          <w:rFonts w:ascii="Tahoma" w:hAnsi="Tahoma" w:cs="Tahoma"/>
          <w:bCs/>
          <w:sz w:val="23"/>
          <w:szCs w:val="23"/>
        </w:rPr>
        <w:t>Representation of lesbians and gay men in federal, state, and local bureaucracies.</w:t>
      </w:r>
      <w:proofErr w:type="gramEnd"/>
      <w:r w:rsidRPr="00BC22F7">
        <w:rPr>
          <w:rFonts w:ascii="Tahoma" w:hAnsi="Tahoma" w:cs="Tahoma"/>
          <w:bCs/>
          <w:sz w:val="23"/>
          <w:szCs w:val="23"/>
        </w:rPr>
        <w:t xml:space="preserve"> </w:t>
      </w:r>
      <w:r w:rsidRPr="00BC22F7">
        <w:rPr>
          <w:rFonts w:ascii="Tahoma" w:hAnsi="Tahoma" w:cs="Tahoma"/>
          <w:bCs/>
          <w:i/>
          <w:sz w:val="23"/>
          <w:szCs w:val="23"/>
        </w:rPr>
        <w:t>Journal of Public Administration Research and Theory, 21</w:t>
      </w:r>
      <w:r w:rsidRPr="00BC22F7">
        <w:rPr>
          <w:rFonts w:ascii="Tahoma" w:hAnsi="Tahoma" w:cs="Tahoma"/>
          <w:bCs/>
          <w:sz w:val="23"/>
          <w:szCs w:val="23"/>
        </w:rPr>
        <w:t>(1), 159-180.</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Lewis, G.B., &amp; Frank, S.A. (2002).</w:t>
      </w:r>
      <w:proofErr w:type="gramEnd"/>
      <w:r w:rsidRPr="00BC22F7">
        <w:rPr>
          <w:rFonts w:ascii="Tahoma" w:hAnsi="Tahoma" w:cs="Tahoma"/>
          <w:bCs/>
          <w:sz w:val="23"/>
          <w:szCs w:val="23"/>
        </w:rPr>
        <w:t xml:space="preserve"> Who wants to work for the government? </w:t>
      </w:r>
      <w:r w:rsidRPr="00BC22F7">
        <w:rPr>
          <w:rFonts w:ascii="Tahoma" w:hAnsi="Tahoma" w:cs="Tahoma"/>
          <w:bCs/>
          <w:i/>
          <w:sz w:val="23"/>
          <w:szCs w:val="23"/>
        </w:rPr>
        <w:t>Public Administration Review, 62</w:t>
      </w:r>
      <w:r w:rsidRPr="00BC22F7">
        <w:rPr>
          <w:rFonts w:ascii="Tahoma" w:hAnsi="Tahoma" w:cs="Tahoma"/>
          <w:bCs/>
          <w:sz w:val="23"/>
          <w:szCs w:val="23"/>
        </w:rPr>
        <w:t>(4), 395-404.</w:t>
      </w:r>
    </w:p>
    <w:p w:rsidR="009F152F" w:rsidRPr="00BC22F7" w:rsidRDefault="009F152F" w:rsidP="008D5135">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Lyons, S. T., Duxbury, L. E., &amp; Higgins, C. A. (2006).</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 xml:space="preserve">A comparison of the values and commitment of private sector, public sector, and </w:t>
      </w:r>
      <w:proofErr w:type="spellStart"/>
      <w:r w:rsidRPr="00BC22F7">
        <w:rPr>
          <w:rFonts w:ascii="Tahoma" w:hAnsi="Tahoma" w:cs="Tahoma"/>
          <w:bCs/>
          <w:sz w:val="23"/>
          <w:szCs w:val="23"/>
        </w:rPr>
        <w:t>parapublic</w:t>
      </w:r>
      <w:proofErr w:type="spellEnd"/>
      <w:r w:rsidRPr="00BC22F7">
        <w:rPr>
          <w:rFonts w:ascii="Tahoma" w:hAnsi="Tahoma" w:cs="Tahoma"/>
          <w:bCs/>
          <w:sz w:val="23"/>
          <w:szCs w:val="23"/>
        </w:rPr>
        <w:t xml:space="preserve"> sector employees.</w:t>
      </w:r>
      <w:proofErr w:type="gramEnd"/>
      <w:r w:rsidRPr="00BC22F7">
        <w:rPr>
          <w:rFonts w:ascii="Tahoma" w:hAnsi="Tahoma" w:cs="Tahoma"/>
          <w:bCs/>
          <w:sz w:val="23"/>
          <w:szCs w:val="23"/>
        </w:rPr>
        <w:t> </w:t>
      </w:r>
      <w:r w:rsidRPr="00BC22F7">
        <w:rPr>
          <w:rFonts w:ascii="Tahoma" w:hAnsi="Tahoma" w:cs="Tahoma"/>
          <w:bCs/>
          <w:i/>
          <w:sz w:val="23"/>
          <w:szCs w:val="23"/>
        </w:rPr>
        <w:t>Public Administration Review, 66</w:t>
      </w:r>
      <w:r w:rsidRPr="00BC22F7">
        <w:rPr>
          <w:rFonts w:ascii="Tahoma" w:hAnsi="Tahoma" w:cs="Tahoma"/>
          <w:bCs/>
          <w:sz w:val="23"/>
          <w:szCs w:val="23"/>
        </w:rPr>
        <w:t xml:space="preserve">(4), 605-618. </w:t>
      </w:r>
    </w:p>
    <w:p w:rsidR="009F152F" w:rsidRPr="00BC22F7" w:rsidRDefault="009F152F" w:rsidP="004B38CB">
      <w:pPr>
        <w:spacing w:after="0" w:line="240" w:lineRule="auto"/>
        <w:ind w:left="567" w:hanging="567"/>
        <w:rPr>
          <w:rFonts w:ascii="Tahoma" w:hAnsi="Tahoma" w:cs="Tahoma"/>
          <w:bCs/>
          <w:sz w:val="23"/>
          <w:szCs w:val="23"/>
        </w:rPr>
      </w:pPr>
      <w:r w:rsidRPr="00BC22F7">
        <w:rPr>
          <w:rFonts w:ascii="Tahoma" w:hAnsi="Tahoma" w:cs="Tahoma"/>
          <w:bCs/>
          <w:sz w:val="23"/>
          <w:szCs w:val="23"/>
        </w:rPr>
        <w:t>Lyons, S.T., Ng, E.S.W., &amp; Schweitzer, L.  (2012)</w:t>
      </w:r>
      <w:proofErr w:type="gramStart"/>
      <w:r w:rsidRPr="00BC22F7">
        <w:rPr>
          <w:rFonts w:ascii="Tahoma" w:hAnsi="Tahoma" w:cs="Tahoma"/>
          <w:bCs/>
          <w:sz w:val="23"/>
          <w:szCs w:val="23"/>
        </w:rPr>
        <w:t>.  Generational</w:t>
      </w:r>
      <w:proofErr w:type="gramEnd"/>
      <w:r w:rsidRPr="00BC22F7">
        <w:rPr>
          <w:rFonts w:ascii="Tahoma" w:hAnsi="Tahoma" w:cs="Tahoma"/>
          <w:bCs/>
          <w:sz w:val="23"/>
          <w:szCs w:val="23"/>
        </w:rPr>
        <w:t xml:space="preserve"> career shift: </w:t>
      </w:r>
      <w:proofErr w:type="spellStart"/>
      <w:r w:rsidRPr="00BC22F7">
        <w:rPr>
          <w:rFonts w:ascii="Tahoma" w:hAnsi="Tahoma" w:cs="Tahoma"/>
          <w:bCs/>
          <w:sz w:val="23"/>
          <w:szCs w:val="23"/>
        </w:rPr>
        <w:t>Millennials</w:t>
      </w:r>
      <w:proofErr w:type="spellEnd"/>
      <w:r w:rsidRPr="00BC22F7">
        <w:rPr>
          <w:rFonts w:ascii="Tahoma" w:hAnsi="Tahoma" w:cs="Tahoma"/>
          <w:bCs/>
          <w:sz w:val="23"/>
          <w:szCs w:val="23"/>
        </w:rPr>
        <w:t xml:space="preserve"> and the changing nature of careers in Canada.  </w:t>
      </w:r>
      <w:proofErr w:type="gramStart"/>
      <w:r w:rsidRPr="00BC22F7">
        <w:rPr>
          <w:rFonts w:ascii="Tahoma" w:hAnsi="Tahoma" w:cs="Tahoma"/>
          <w:bCs/>
          <w:sz w:val="23"/>
          <w:szCs w:val="23"/>
        </w:rPr>
        <w:t xml:space="preserve">In E. Ng, S. Lyons, &amp; L. Schweitzer (Eds.), </w:t>
      </w:r>
      <w:r w:rsidRPr="00BC22F7">
        <w:rPr>
          <w:rFonts w:ascii="Tahoma" w:hAnsi="Tahoma" w:cs="Tahoma"/>
          <w:bCs/>
          <w:i/>
          <w:sz w:val="23"/>
          <w:szCs w:val="23"/>
        </w:rPr>
        <w:t>Managing the New Workforce: International Perspectives on the Millennial Generation.</w:t>
      </w:r>
      <w:proofErr w:type="gramEnd"/>
      <w:r w:rsidRPr="00BC22F7">
        <w:rPr>
          <w:rFonts w:ascii="Tahoma" w:hAnsi="Tahoma" w:cs="Tahoma"/>
          <w:bCs/>
          <w:sz w:val="23"/>
          <w:szCs w:val="23"/>
        </w:rPr>
        <w:t xml:space="preserve">  Cheltenham: Edward Elgar.</w:t>
      </w:r>
    </w:p>
    <w:p w:rsidR="009F152F" w:rsidRPr="00BC22F7" w:rsidRDefault="009F152F">
      <w:pPr>
        <w:spacing w:after="0" w:line="240" w:lineRule="auto"/>
        <w:ind w:left="567" w:hanging="567"/>
        <w:rPr>
          <w:rFonts w:ascii="Tahoma" w:hAnsi="Tahoma" w:cs="Tahoma"/>
          <w:bCs/>
          <w:sz w:val="23"/>
          <w:szCs w:val="23"/>
        </w:rPr>
      </w:pPr>
      <w:proofErr w:type="spellStart"/>
      <w:proofErr w:type="gramStart"/>
      <w:r w:rsidRPr="00BC22F7">
        <w:rPr>
          <w:rFonts w:ascii="Tahoma" w:hAnsi="Tahoma" w:cs="Tahoma"/>
          <w:bCs/>
          <w:sz w:val="23"/>
          <w:szCs w:val="23"/>
        </w:rPr>
        <w:t>Mellstrom</w:t>
      </w:r>
      <w:proofErr w:type="spellEnd"/>
      <w:r w:rsidRPr="00BC22F7">
        <w:rPr>
          <w:rFonts w:ascii="Tahoma" w:hAnsi="Tahoma" w:cs="Tahoma"/>
          <w:bCs/>
          <w:sz w:val="23"/>
          <w:szCs w:val="23"/>
        </w:rPr>
        <w:t xml:space="preserve">, C. &amp; </w:t>
      </w:r>
      <w:proofErr w:type="spellStart"/>
      <w:r w:rsidRPr="00BC22F7">
        <w:rPr>
          <w:rFonts w:ascii="Tahoma" w:hAnsi="Tahoma" w:cs="Tahoma"/>
          <w:bCs/>
          <w:sz w:val="23"/>
          <w:szCs w:val="23"/>
        </w:rPr>
        <w:t>Johannesson</w:t>
      </w:r>
      <w:proofErr w:type="spellEnd"/>
      <w:r w:rsidRPr="00BC22F7">
        <w:rPr>
          <w:rFonts w:ascii="Tahoma" w:hAnsi="Tahoma" w:cs="Tahoma"/>
          <w:bCs/>
          <w:sz w:val="23"/>
          <w:szCs w:val="23"/>
        </w:rPr>
        <w:t>, M. (2008).</w:t>
      </w:r>
      <w:proofErr w:type="gramEnd"/>
      <w:r w:rsidRPr="00BC22F7">
        <w:rPr>
          <w:rFonts w:ascii="Tahoma" w:hAnsi="Tahoma" w:cs="Tahoma"/>
          <w:bCs/>
          <w:sz w:val="23"/>
          <w:szCs w:val="23"/>
        </w:rPr>
        <w:t xml:space="preserve"> Crowding out in blood donation: was </w:t>
      </w:r>
      <w:proofErr w:type="spellStart"/>
      <w:r w:rsidRPr="00BC22F7">
        <w:rPr>
          <w:rFonts w:ascii="Tahoma" w:hAnsi="Tahoma" w:cs="Tahoma"/>
          <w:bCs/>
          <w:sz w:val="23"/>
          <w:szCs w:val="23"/>
        </w:rPr>
        <w:t>Titmuss</w:t>
      </w:r>
      <w:proofErr w:type="spellEnd"/>
      <w:r w:rsidRPr="00BC22F7">
        <w:rPr>
          <w:rFonts w:ascii="Tahoma" w:hAnsi="Tahoma" w:cs="Tahoma"/>
          <w:bCs/>
          <w:sz w:val="23"/>
          <w:szCs w:val="23"/>
        </w:rPr>
        <w:t xml:space="preserve"> right? </w:t>
      </w:r>
      <w:r w:rsidRPr="00BC22F7">
        <w:rPr>
          <w:rFonts w:ascii="Tahoma" w:hAnsi="Tahoma" w:cs="Tahoma"/>
          <w:bCs/>
          <w:i/>
          <w:sz w:val="23"/>
          <w:szCs w:val="23"/>
        </w:rPr>
        <w:t>Journal of the European Economic Association, 6</w:t>
      </w:r>
      <w:r w:rsidRPr="00BC22F7">
        <w:rPr>
          <w:rFonts w:ascii="Tahoma" w:hAnsi="Tahoma" w:cs="Tahoma"/>
          <w:bCs/>
          <w:sz w:val="23"/>
          <w:szCs w:val="23"/>
        </w:rPr>
        <w:t>(4), 845-863.</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Miller, K. J. (2012). Representative bureaucracy and multilevel governance in the </w:t>
      </w:r>
      <w:proofErr w:type="spellStart"/>
      <w:r w:rsidRPr="00BC22F7" w:rsidDel="00F767BB">
        <w:rPr>
          <w:rFonts w:ascii="Tahoma" w:hAnsi="Tahoma" w:cs="Tahoma"/>
          <w:bCs/>
          <w:sz w:val="23"/>
          <w:szCs w:val="23"/>
        </w:rPr>
        <w:t>eu</w:t>
      </w:r>
      <w:r w:rsidRPr="00BC22F7">
        <w:rPr>
          <w:rFonts w:ascii="Tahoma" w:hAnsi="Tahoma" w:cs="Tahoma"/>
          <w:bCs/>
          <w:sz w:val="23"/>
          <w:szCs w:val="23"/>
        </w:rPr>
        <w:t>EU</w:t>
      </w:r>
      <w:proofErr w:type="spellEnd"/>
      <w:r w:rsidRPr="00BC22F7">
        <w:rPr>
          <w:rFonts w:ascii="Tahoma" w:hAnsi="Tahoma" w:cs="Tahoma"/>
          <w:bCs/>
          <w:sz w:val="23"/>
          <w:szCs w:val="23"/>
        </w:rPr>
        <w:t>: A research agenda. </w:t>
      </w:r>
      <w:r w:rsidRPr="00BC22F7">
        <w:rPr>
          <w:rFonts w:ascii="Tahoma" w:hAnsi="Tahoma" w:cs="Tahoma"/>
          <w:bCs/>
          <w:i/>
          <w:sz w:val="23"/>
          <w:szCs w:val="23"/>
        </w:rPr>
        <w:t>Geopolitics, History and International Relations, 4</w:t>
      </w:r>
      <w:r w:rsidRPr="00BC22F7">
        <w:rPr>
          <w:rFonts w:ascii="Tahoma" w:hAnsi="Tahoma" w:cs="Tahoma"/>
          <w:bCs/>
          <w:sz w:val="23"/>
          <w:szCs w:val="23"/>
        </w:rPr>
        <w:t xml:space="preserve">(1), 50-75. </w:t>
      </w:r>
    </w:p>
    <w:p w:rsidR="009F152F" w:rsidRPr="00BC22F7" w:rsidRDefault="009F152F">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Mosher, F. (1968).</w:t>
      </w:r>
      <w:proofErr w:type="gramEnd"/>
      <w:r w:rsidRPr="00BC22F7">
        <w:rPr>
          <w:rFonts w:ascii="Tahoma" w:hAnsi="Tahoma" w:cs="Tahoma"/>
          <w:bCs/>
          <w:sz w:val="23"/>
          <w:szCs w:val="23"/>
        </w:rPr>
        <w:t xml:space="preserve"> </w:t>
      </w:r>
      <w:proofErr w:type="gramStart"/>
      <w:r w:rsidRPr="00BC22F7">
        <w:rPr>
          <w:rFonts w:ascii="Tahoma" w:hAnsi="Tahoma" w:cs="Tahoma"/>
          <w:bCs/>
          <w:i/>
          <w:sz w:val="23"/>
          <w:szCs w:val="23"/>
        </w:rPr>
        <w:t>Democracy and the public service.</w:t>
      </w:r>
      <w:proofErr w:type="gramEnd"/>
      <w:r w:rsidRPr="00BC22F7">
        <w:rPr>
          <w:rFonts w:ascii="Tahoma" w:hAnsi="Tahoma" w:cs="Tahoma"/>
          <w:bCs/>
          <w:sz w:val="23"/>
          <w:szCs w:val="23"/>
        </w:rPr>
        <w:t xml:space="preserve"> New York: Oxford University Press.</w:t>
      </w:r>
    </w:p>
    <w:p w:rsidR="009F152F" w:rsidRPr="00BC22F7" w:rsidRDefault="009F152F">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lastRenderedPageBreak/>
        <w:t>Ncholo</w:t>
      </w:r>
      <w:proofErr w:type="spellEnd"/>
      <w:r w:rsidRPr="00BC22F7">
        <w:rPr>
          <w:rFonts w:ascii="Tahoma" w:hAnsi="Tahoma" w:cs="Tahoma"/>
          <w:bCs/>
          <w:sz w:val="23"/>
          <w:szCs w:val="23"/>
        </w:rPr>
        <w:t xml:space="preserve">, P. (2000). </w:t>
      </w:r>
      <w:proofErr w:type="gramStart"/>
      <w:r w:rsidRPr="00BC22F7">
        <w:rPr>
          <w:rFonts w:ascii="Tahoma" w:hAnsi="Tahoma" w:cs="Tahoma"/>
          <w:bCs/>
          <w:sz w:val="23"/>
          <w:szCs w:val="23"/>
        </w:rPr>
        <w:t>Reforming the public service in South Africa: A policy framework.</w:t>
      </w:r>
      <w:proofErr w:type="gramEnd"/>
      <w:r w:rsidRPr="00BC22F7">
        <w:rPr>
          <w:rFonts w:ascii="Tahoma" w:hAnsi="Tahoma" w:cs="Tahoma"/>
          <w:bCs/>
          <w:sz w:val="23"/>
          <w:szCs w:val="23"/>
        </w:rPr>
        <w:t> </w:t>
      </w:r>
      <w:r w:rsidRPr="00BC22F7">
        <w:rPr>
          <w:rFonts w:ascii="Tahoma" w:hAnsi="Tahoma" w:cs="Tahoma"/>
          <w:bCs/>
          <w:i/>
          <w:sz w:val="23"/>
          <w:szCs w:val="23"/>
        </w:rPr>
        <w:t>Public Administration &amp; Development</w:t>
      </w:r>
      <w:proofErr w:type="gramStart"/>
      <w:r w:rsidRPr="00BC22F7">
        <w:rPr>
          <w:rFonts w:ascii="Tahoma" w:hAnsi="Tahoma" w:cs="Tahoma"/>
          <w:bCs/>
          <w:i/>
          <w:sz w:val="23"/>
          <w:szCs w:val="23"/>
        </w:rPr>
        <w:t>,20</w:t>
      </w:r>
      <w:proofErr w:type="gramEnd"/>
      <w:r w:rsidRPr="00BC22F7">
        <w:rPr>
          <w:rFonts w:ascii="Tahoma" w:hAnsi="Tahoma" w:cs="Tahoma"/>
          <w:bCs/>
          <w:sz w:val="23"/>
          <w:szCs w:val="23"/>
        </w:rPr>
        <w:t xml:space="preserve">(2), 87. </w:t>
      </w:r>
    </w:p>
    <w:p w:rsidR="009F152F" w:rsidRPr="00BC22F7" w:rsidRDefault="009F152F">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Ng, E.S.W., &amp; Burke, R. J. (2005).</w:t>
      </w:r>
      <w:proofErr w:type="gramEnd"/>
      <w:r w:rsidRPr="00BC22F7">
        <w:rPr>
          <w:rFonts w:ascii="Tahoma" w:hAnsi="Tahoma" w:cs="Tahoma"/>
          <w:bCs/>
          <w:sz w:val="23"/>
          <w:szCs w:val="23"/>
        </w:rPr>
        <w:t xml:space="preserve"> Person-organization fit and the war for talent: Does diversity management make a difference? </w:t>
      </w:r>
      <w:r w:rsidRPr="00BC22F7">
        <w:rPr>
          <w:rFonts w:ascii="Tahoma" w:hAnsi="Tahoma" w:cs="Tahoma"/>
          <w:bCs/>
          <w:i/>
          <w:sz w:val="23"/>
          <w:szCs w:val="23"/>
        </w:rPr>
        <w:t>International Journal of Human Resource Management, 16</w:t>
      </w:r>
      <w:r w:rsidRPr="00BC22F7">
        <w:rPr>
          <w:rFonts w:ascii="Tahoma" w:hAnsi="Tahoma" w:cs="Tahoma"/>
          <w:bCs/>
          <w:sz w:val="23"/>
          <w:szCs w:val="23"/>
        </w:rPr>
        <w:t xml:space="preserve">(7), 1195-1210. </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Ng, E.S.W., &amp; Burke, R.J. (2006).</w:t>
      </w:r>
      <w:proofErr w:type="gramEnd"/>
      <w:r w:rsidRPr="00BC22F7">
        <w:rPr>
          <w:rFonts w:ascii="Tahoma" w:hAnsi="Tahoma" w:cs="Tahoma"/>
          <w:bCs/>
          <w:sz w:val="23"/>
          <w:szCs w:val="23"/>
        </w:rPr>
        <w:t xml:space="preserve">  The next generation at work: Business students’ views, values and job search strategy.  </w:t>
      </w:r>
      <w:r w:rsidRPr="00BC22F7">
        <w:rPr>
          <w:rFonts w:ascii="Tahoma" w:hAnsi="Tahoma" w:cs="Tahoma"/>
          <w:bCs/>
          <w:i/>
          <w:sz w:val="23"/>
          <w:szCs w:val="23"/>
        </w:rPr>
        <w:t>Education and Training, 48</w:t>
      </w:r>
      <w:r w:rsidRPr="00BC22F7">
        <w:rPr>
          <w:rFonts w:ascii="Tahoma" w:hAnsi="Tahoma" w:cs="Tahoma"/>
          <w:bCs/>
          <w:sz w:val="23"/>
          <w:szCs w:val="23"/>
        </w:rPr>
        <w:t>(7), 478-492.</w:t>
      </w:r>
    </w:p>
    <w:p w:rsidR="009F152F" w:rsidRPr="00BC22F7" w:rsidRDefault="009F152F">
      <w:pPr>
        <w:spacing w:after="0" w:line="240" w:lineRule="auto"/>
        <w:ind w:left="567" w:hanging="567"/>
        <w:rPr>
          <w:rFonts w:ascii="Tahoma" w:eastAsia="Calibri" w:hAnsi="Tahoma" w:cs="Tahoma"/>
          <w:bCs/>
          <w:i/>
          <w:sz w:val="23"/>
          <w:szCs w:val="23"/>
        </w:rPr>
      </w:pPr>
      <w:proofErr w:type="gramStart"/>
      <w:r w:rsidRPr="00BC22F7">
        <w:rPr>
          <w:rFonts w:ascii="Tahoma" w:eastAsia="Calibri" w:hAnsi="Tahoma" w:cs="Tahoma"/>
          <w:bCs/>
          <w:sz w:val="23"/>
          <w:szCs w:val="23"/>
        </w:rPr>
        <w:t>Ng, E.S.W., &amp; Gossett, C.W. (</w:t>
      </w:r>
      <w:r w:rsidRPr="00BC22F7">
        <w:rPr>
          <w:rFonts w:ascii="Tahoma" w:hAnsi="Tahoma" w:cs="Tahoma"/>
          <w:bCs/>
          <w:sz w:val="23"/>
          <w:szCs w:val="23"/>
        </w:rPr>
        <w:t>forthcoming</w:t>
      </w:r>
      <w:r w:rsidRPr="00BC22F7">
        <w:rPr>
          <w:rFonts w:ascii="Tahoma" w:eastAsia="Calibri" w:hAnsi="Tahoma" w:cs="Tahoma"/>
          <w:bCs/>
          <w:sz w:val="23"/>
          <w:szCs w:val="23"/>
        </w:rPr>
        <w:t>).</w:t>
      </w:r>
      <w:proofErr w:type="gramEnd"/>
      <w:r w:rsidRPr="00BC22F7">
        <w:rPr>
          <w:rFonts w:ascii="Tahoma" w:eastAsia="Calibri" w:hAnsi="Tahoma" w:cs="Tahoma"/>
          <w:bCs/>
          <w:sz w:val="23"/>
          <w:szCs w:val="23"/>
        </w:rPr>
        <w:t xml:space="preserve">  Career choice in public service: An exploration of fit with the millennial generation.  </w:t>
      </w:r>
      <w:proofErr w:type="gramStart"/>
      <w:r w:rsidRPr="00BC22F7">
        <w:rPr>
          <w:rFonts w:ascii="Tahoma" w:eastAsia="Calibri" w:hAnsi="Tahoma" w:cs="Tahoma"/>
          <w:bCs/>
          <w:i/>
          <w:sz w:val="23"/>
          <w:szCs w:val="23"/>
        </w:rPr>
        <w:t>Public Personnel Management.</w:t>
      </w:r>
      <w:proofErr w:type="gramEnd"/>
    </w:p>
    <w:p w:rsidR="009F152F" w:rsidRPr="00BC22F7" w:rsidRDefault="009F152F">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Ng, E.S.W., &amp; Sears, G.J. (2010).</w:t>
      </w:r>
      <w:proofErr w:type="gramEnd"/>
      <w:r w:rsidRPr="00BC22F7">
        <w:rPr>
          <w:rFonts w:ascii="Tahoma" w:hAnsi="Tahoma" w:cs="Tahoma"/>
          <w:bCs/>
          <w:sz w:val="23"/>
          <w:szCs w:val="23"/>
        </w:rPr>
        <w:t xml:space="preserve"> What women and ethnic minorities </w:t>
      </w:r>
      <w:proofErr w:type="gramStart"/>
      <w:r w:rsidRPr="00BC22F7">
        <w:rPr>
          <w:rFonts w:ascii="Tahoma" w:hAnsi="Tahoma" w:cs="Tahoma"/>
          <w:bCs/>
          <w:sz w:val="23"/>
          <w:szCs w:val="23"/>
        </w:rPr>
        <w:t>want.</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work</w:t>
      </w:r>
      <w:proofErr w:type="gramEnd"/>
      <w:r w:rsidRPr="00BC22F7">
        <w:rPr>
          <w:rFonts w:ascii="Tahoma" w:hAnsi="Tahoma" w:cs="Tahoma"/>
          <w:bCs/>
          <w:sz w:val="23"/>
          <w:szCs w:val="23"/>
        </w:rPr>
        <w:t xml:space="preserve"> values and labor market confidence: A self-determination perspective. </w:t>
      </w:r>
      <w:r w:rsidRPr="00BC22F7" w:rsidDel="00F767BB">
        <w:rPr>
          <w:rFonts w:ascii="Tahoma" w:hAnsi="Tahoma" w:cs="Tahoma"/>
          <w:bCs/>
          <w:sz w:val="23"/>
          <w:szCs w:val="23"/>
        </w:rPr>
        <w:t xml:space="preserve"> </w:t>
      </w:r>
      <w:r w:rsidRPr="00BC22F7">
        <w:rPr>
          <w:rFonts w:ascii="Tahoma" w:hAnsi="Tahoma" w:cs="Tahoma"/>
          <w:bCs/>
          <w:i/>
          <w:sz w:val="23"/>
          <w:szCs w:val="23"/>
        </w:rPr>
        <w:t>International Journal of Human Resource Management, 21</w:t>
      </w:r>
      <w:r w:rsidRPr="00BC22F7">
        <w:rPr>
          <w:rFonts w:ascii="Tahoma" w:hAnsi="Tahoma" w:cs="Tahoma"/>
          <w:bCs/>
          <w:sz w:val="23"/>
          <w:szCs w:val="23"/>
        </w:rPr>
        <w:t>(5), 676-698.</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Ng, E.S.W., Schweitzer, L., &amp; Lyons Sean, S.T. L. (2010).</w:t>
      </w:r>
      <w:proofErr w:type="gramEnd"/>
      <w:r w:rsidRPr="00BC22F7">
        <w:rPr>
          <w:rFonts w:ascii="Tahoma" w:hAnsi="Tahoma" w:cs="Tahoma"/>
          <w:bCs/>
          <w:sz w:val="23"/>
          <w:szCs w:val="23"/>
        </w:rPr>
        <w:t xml:space="preserve"> New generation, great expectations: A field study of the millennial generation. </w:t>
      </w:r>
      <w:r w:rsidRPr="00BC22F7">
        <w:rPr>
          <w:rFonts w:ascii="Tahoma" w:hAnsi="Tahoma" w:cs="Tahoma"/>
          <w:bCs/>
          <w:i/>
          <w:sz w:val="23"/>
          <w:szCs w:val="23"/>
        </w:rPr>
        <w:t>Journal of Business and Psychology, 25</w:t>
      </w:r>
      <w:r w:rsidRPr="00BC22F7">
        <w:rPr>
          <w:rFonts w:ascii="Tahoma" w:hAnsi="Tahoma" w:cs="Tahoma"/>
          <w:bCs/>
          <w:sz w:val="23"/>
          <w:szCs w:val="23"/>
        </w:rPr>
        <w:t>(2), 281-292.</w:t>
      </w:r>
    </w:p>
    <w:p w:rsidR="009F152F" w:rsidRPr="00BC22F7" w:rsidRDefault="009F152F">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Ng, E.S.W., Schweitzer, L., &amp; Lyons, S.T. (2012).</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Anticipated discrimination and career choice among stigmatized individuals: A study of early career lesbian, gay, bisexual, and transgendered (LGBT) job seekers.</w:t>
      </w:r>
      <w:proofErr w:type="gramEnd"/>
      <w:r w:rsidRPr="00BC22F7">
        <w:rPr>
          <w:rFonts w:ascii="Tahoma" w:hAnsi="Tahoma" w:cs="Tahoma"/>
          <w:bCs/>
          <w:sz w:val="23"/>
          <w:szCs w:val="23"/>
        </w:rPr>
        <w:t xml:space="preserve">  </w:t>
      </w:r>
      <w:r w:rsidRPr="00BC22F7">
        <w:rPr>
          <w:rFonts w:ascii="Tahoma" w:hAnsi="Tahoma" w:cs="Tahoma"/>
          <w:bCs/>
          <w:i/>
          <w:sz w:val="23"/>
          <w:szCs w:val="23"/>
        </w:rPr>
        <w:t>Review of Public Personnel Administration, 32</w:t>
      </w:r>
      <w:r w:rsidRPr="00BC22F7">
        <w:rPr>
          <w:rFonts w:ascii="Tahoma" w:hAnsi="Tahoma" w:cs="Tahoma"/>
          <w:bCs/>
          <w:sz w:val="23"/>
          <w:szCs w:val="23"/>
        </w:rPr>
        <w:t>(4), 332-352.</w:t>
      </w:r>
    </w:p>
    <w:p w:rsidR="009F152F" w:rsidRPr="00BC22F7" w:rsidRDefault="009F152F" w:rsidP="004B38CB">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t>Ogmundson</w:t>
      </w:r>
      <w:proofErr w:type="spellEnd"/>
      <w:r w:rsidRPr="00BC22F7">
        <w:rPr>
          <w:rFonts w:ascii="Tahoma" w:hAnsi="Tahoma" w:cs="Tahoma"/>
          <w:bCs/>
          <w:sz w:val="23"/>
          <w:szCs w:val="23"/>
        </w:rPr>
        <w:t>, R. (2005). Does it matter if women, minorities and gays govern</w:t>
      </w:r>
      <w:proofErr w:type="gramStart"/>
      <w:r w:rsidRPr="00BC22F7">
        <w:rPr>
          <w:rFonts w:ascii="Tahoma" w:hAnsi="Tahoma" w:cs="Tahoma"/>
          <w:bCs/>
          <w:sz w:val="23"/>
          <w:szCs w:val="23"/>
        </w:rPr>
        <w:t>?:</w:t>
      </w:r>
      <w:proofErr w:type="gramEnd"/>
      <w:r w:rsidRPr="00BC22F7">
        <w:rPr>
          <w:rFonts w:ascii="Tahoma" w:hAnsi="Tahoma" w:cs="Tahoma"/>
          <w:bCs/>
          <w:sz w:val="23"/>
          <w:szCs w:val="23"/>
        </w:rPr>
        <w:t xml:space="preserve"> New data concerning an old question. </w:t>
      </w:r>
      <w:r w:rsidRPr="00BC22F7">
        <w:rPr>
          <w:rFonts w:ascii="Tahoma" w:hAnsi="Tahoma" w:cs="Tahoma"/>
          <w:bCs/>
          <w:i/>
          <w:sz w:val="23"/>
          <w:szCs w:val="23"/>
        </w:rPr>
        <w:t xml:space="preserve">Canadian Journal of Sociology/Cahiers </w:t>
      </w:r>
      <w:proofErr w:type="spellStart"/>
      <w:r w:rsidRPr="00BC22F7">
        <w:rPr>
          <w:rFonts w:ascii="Tahoma" w:hAnsi="Tahoma" w:cs="Tahoma"/>
          <w:bCs/>
          <w:i/>
          <w:sz w:val="23"/>
          <w:szCs w:val="23"/>
        </w:rPr>
        <w:t>Canadiens</w:t>
      </w:r>
      <w:proofErr w:type="spellEnd"/>
      <w:r w:rsidRPr="00BC22F7">
        <w:rPr>
          <w:rFonts w:ascii="Tahoma" w:hAnsi="Tahoma" w:cs="Tahoma"/>
          <w:bCs/>
          <w:i/>
          <w:sz w:val="23"/>
          <w:szCs w:val="23"/>
        </w:rPr>
        <w:t xml:space="preserve"> De </w:t>
      </w:r>
      <w:proofErr w:type="spellStart"/>
      <w:r w:rsidRPr="00BC22F7">
        <w:rPr>
          <w:rFonts w:ascii="Tahoma" w:hAnsi="Tahoma" w:cs="Tahoma"/>
          <w:bCs/>
          <w:i/>
          <w:sz w:val="23"/>
          <w:szCs w:val="23"/>
        </w:rPr>
        <w:t>Sociologie</w:t>
      </w:r>
      <w:proofErr w:type="spellEnd"/>
      <w:r w:rsidRPr="00BC22F7">
        <w:rPr>
          <w:rFonts w:ascii="Tahoma" w:hAnsi="Tahoma" w:cs="Tahoma"/>
          <w:bCs/>
          <w:i/>
          <w:sz w:val="23"/>
          <w:szCs w:val="23"/>
        </w:rPr>
        <w:t>, 30</w:t>
      </w:r>
      <w:r w:rsidRPr="00BC22F7">
        <w:rPr>
          <w:rFonts w:ascii="Tahoma" w:hAnsi="Tahoma" w:cs="Tahoma"/>
          <w:bCs/>
          <w:sz w:val="23"/>
          <w:szCs w:val="23"/>
        </w:rPr>
        <w:t>(3), 315-324.</w:t>
      </w:r>
    </w:p>
    <w:p w:rsidR="009F152F" w:rsidRPr="00BC22F7" w:rsidRDefault="009F152F">
      <w:pPr>
        <w:spacing w:after="0" w:line="240" w:lineRule="auto"/>
        <w:ind w:left="567" w:hanging="567"/>
        <w:rPr>
          <w:rFonts w:ascii="Tahoma" w:hAnsi="Tahoma" w:cs="Tahoma"/>
          <w:bCs/>
          <w:sz w:val="23"/>
          <w:szCs w:val="23"/>
        </w:rPr>
      </w:pPr>
      <w:proofErr w:type="spellStart"/>
      <w:proofErr w:type="gramStart"/>
      <w:r w:rsidRPr="00BC22F7">
        <w:rPr>
          <w:rFonts w:ascii="Tahoma" w:hAnsi="Tahoma" w:cs="Tahoma"/>
          <w:bCs/>
          <w:sz w:val="23"/>
          <w:szCs w:val="23"/>
        </w:rPr>
        <w:t>Patrias</w:t>
      </w:r>
      <w:proofErr w:type="spellEnd"/>
      <w:r w:rsidRPr="00BC22F7">
        <w:rPr>
          <w:rFonts w:ascii="Tahoma" w:hAnsi="Tahoma" w:cs="Tahoma"/>
          <w:bCs/>
          <w:sz w:val="23"/>
          <w:szCs w:val="23"/>
        </w:rPr>
        <w:t xml:space="preserve">, C., &amp; </w:t>
      </w:r>
      <w:proofErr w:type="spellStart"/>
      <w:r w:rsidRPr="00BC22F7">
        <w:rPr>
          <w:rFonts w:ascii="Tahoma" w:hAnsi="Tahoma" w:cs="Tahoma"/>
          <w:bCs/>
          <w:sz w:val="23"/>
          <w:szCs w:val="23"/>
        </w:rPr>
        <w:t>Frager</w:t>
      </w:r>
      <w:proofErr w:type="spellEnd"/>
      <w:r w:rsidRPr="00BC22F7">
        <w:rPr>
          <w:rFonts w:ascii="Tahoma" w:hAnsi="Tahoma" w:cs="Tahoma"/>
          <w:bCs/>
          <w:sz w:val="23"/>
          <w:szCs w:val="23"/>
        </w:rPr>
        <w:t>, R. A. (2001).</w:t>
      </w:r>
      <w:proofErr w:type="gramEnd"/>
      <w:r w:rsidRPr="00BC22F7">
        <w:rPr>
          <w:rFonts w:ascii="Tahoma" w:hAnsi="Tahoma" w:cs="Tahoma"/>
          <w:bCs/>
          <w:sz w:val="23"/>
          <w:szCs w:val="23"/>
        </w:rPr>
        <w:t xml:space="preserve"> 'This is our country, these are our rights’: Minorities and the origins of Ontario's human rights campaigns. </w:t>
      </w:r>
      <w:r w:rsidRPr="00BC22F7">
        <w:rPr>
          <w:rFonts w:ascii="Tahoma" w:hAnsi="Tahoma" w:cs="Tahoma"/>
          <w:bCs/>
          <w:i/>
          <w:sz w:val="23"/>
          <w:szCs w:val="23"/>
        </w:rPr>
        <w:t>The Canadian Historical Review, 82</w:t>
      </w:r>
      <w:r w:rsidRPr="00BC22F7">
        <w:rPr>
          <w:rFonts w:ascii="Tahoma" w:hAnsi="Tahoma" w:cs="Tahoma"/>
          <w:bCs/>
          <w:sz w:val="23"/>
          <w:szCs w:val="23"/>
        </w:rPr>
        <w:t xml:space="preserve">(1), 1-35. </w:t>
      </w:r>
    </w:p>
    <w:p w:rsidR="009F152F" w:rsidRPr="00BC22F7" w:rsidRDefault="009F152F" w:rsidP="008D5135">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Perry, J. L. (1996). </w:t>
      </w:r>
      <w:proofErr w:type="gramStart"/>
      <w:r w:rsidRPr="00BC22F7">
        <w:rPr>
          <w:rFonts w:ascii="Tahoma" w:hAnsi="Tahoma" w:cs="Tahoma"/>
          <w:bCs/>
          <w:sz w:val="23"/>
          <w:szCs w:val="23"/>
        </w:rPr>
        <w:t>Measuring public service motivation: An assessment of construct reliability and validity.</w:t>
      </w:r>
      <w:proofErr w:type="gramEnd"/>
      <w:r w:rsidRPr="00BC22F7">
        <w:rPr>
          <w:rFonts w:ascii="Tahoma" w:hAnsi="Tahoma" w:cs="Tahoma"/>
          <w:bCs/>
          <w:sz w:val="23"/>
          <w:szCs w:val="23"/>
        </w:rPr>
        <w:t> </w:t>
      </w:r>
      <w:proofErr w:type="gramStart"/>
      <w:r w:rsidRPr="00BC22F7">
        <w:rPr>
          <w:rFonts w:ascii="Tahoma" w:hAnsi="Tahoma" w:cs="Tahoma"/>
          <w:bCs/>
          <w:i/>
          <w:sz w:val="23"/>
          <w:szCs w:val="23"/>
        </w:rPr>
        <w:t>Journal of Public Administration Research and Theory, 6</w:t>
      </w:r>
      <w:r w:rsidRPr="00BC22F7">
        <w:rPr>
          <w:rFonts w:ascii="Tahoma" w:hAnsi="Tahoma" w:cs="Tahoma"/>
          <w:bCs/>
          <w:sz w:val="23"/>
          <w:szCs w:val="23"/>
        </w:rPr>
        <w:t>(1), 5-5.</w:t>
      </w:r>
      <w:proofErr w:type="gramEnd"/>
      <w:r w:rsidRPr="00BC22F7">
        <w:rPr>
          <w:rFonts w:ascii="Tahoma" w:hAnsi="Tahoma" w:cs="Tahoma"/>
          <w:bCs/>
          <w:sz w:val="23"/>
          <w:szCs w:val="23"/>
        </w:rPr>
        <w:t xml:space="preserve"> </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Perry, J. L., &amp; Wise, L. R. (1990).</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The motivational bases of public service.</w:t>
      </w:r>
      <w:proofErr w:type="gramEnd"/>
      <w:r w:rsidRPr="00BC22F7">
        <w:rPr>
          <w:rFonts w:ascii="Tahoma" w:hAnsi="Tahoma" w:cs="Tahoma"/>
          <w:bCs/>
          <w:sz w:val="23"/>
          <w:szCs w:val="23"/>
        </w:rPr>
        <w:t> </w:t>
      </w:r>
      <w:r w:rsidRPr="00BC22F7">
        <w:rPr>
          <w:rFonts w:ascii="Tahoma" w:hAnsi="Tahoma" w:cs="Tahoma"/>
          <w:bCs/>
          <w:i/>
          <w:sz w:val="23"/>
          <w:szCs w:val="23"/>
        </w:rPr>
        <w:t>Public Administration Review, 50</w:t>
      </w:r>
      <w:r w:rsidRPr="00BC22F7">
        <w:rPr>
          <w:rFonts w:ascii="Tahoma" w:hAnsi="Tahoma" w:cs="Tahoma"/>
          <w:bCs/>
          <w:sz w:val="23"/>
          <w:szCs w:val="23"/>
        </w:rPr>
        <w:t>, 367-373.</w:t>
      </w:r>
    </w:p>
    <w:p w:rsidR="009F152F" w:rsidRPr="00BC22F7" w:rsidRDefault="009F152F" w:rsidP="004B38CB">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 xml:space="preserve">Perry, J.L., &amp; </w:t>
      </w:r>
      <w:proofErr w:type="spellStart"/>
      <w:r w:rsidRPr="00BC22F7">
        <w:rPr>
          <w:rFonts w:ascii="Tahoma" w:hAnsi="Tahoma" w:cs="Tahoma"/>
          <w:bCs/>
          <w:sz w:val="23"/>
          <w:szCs w:val="23"/>
        </w:rPr>
        <w:t>Buckwalter</w:t>
      </w:r>
      <w:r w:rsidRPr="00BC22F7" w:rsidDel="00BB4CFC">
        <w:rPr>
          <w:rFonts w:ascii="Tahoma" w:hAnsi="Tahoma" w:cs="Tahoma"/>
          <w:bCs/>
          <w:sz w:val="23"/>
          <w:szCs w:val="23"/>
        </w:rPr>
        <w:t>Nea</w:t>
      </w:r>
      <w:r w:rsidRPr="00BC22F7">
        <w:rPr>
          <w:rFonts w:ascii="Tahoma" w:hAnsi="Tahoma" w:cs="Tahoma"/>
          <w:bCs/>
          <w:sz w:val="23"/>
          <w:szCs w:val="23"/>
        </w:rPr>
        <w:t>l</w:t>
      </w:r>
      <w:proofErr w:type="spellEnd"/>
      <w:r w:rsidRPr="00BC22F7">
        <w:rPr>
          <w:rFonts w:ascii="Tahoma" w:hAnsi="Tahoma" w:cs="Tahoma"/>
          <w:bCs/>
          <w:sz w:val="23"/>
          <w:szCs w:val="23"/>
        </w:rPr>
        <w:t xml:space="preserve">, </w:t>
      </w:r>
      <w:r w:rsidRPr="00BC22F7" w:rsidDel="00BB4CFC">
        <w:rPr>
          <w:rFonts w:ascii="Tahoma" w:hAnsi="Tahoma" w:cs="Tahoma"/>
          <w:bCs/>
          <w:sz w:val="23"/>
          <w:szCs w:val="23"/>
        </w:rPr>
        <w:t>D</w:t>
      </w:r>
      <w:r w:rsidRPr="00BC22F7">
        <w:rPr>
          <w:rFonts w:ascii="Tahoma" w:hAnsi="Tahoma" w:cs="Tahoma"/>
          <w:bCs/>
          <w:sz w:val="23"/>
          <w:szCs w:val="23"/>
        </w:rPr>
        <w:t xml:space="preserve">N. </w:t>
      </w:r>
      <w:r w:rsidRPr="00BC22F7" w:rsidDel="00BB4CFC">
        <w:rPr>
          <w:rFonts w:ascii="Tahoma" w:hAnsi="Tahoma" w:cs="Tahoma"/>
          <w:bCs/>
          <w:sz w:val="23"/>
          <w:szCs w:val="23"/>
        </w:rPr>
        <w:t>B</w:t>
      </w:r>
      <w:r w:rsidRPr="00BC22F7">
        <w:rPr>
          <w:rFonts w:ascii="Tahoma" w:hAnsi="Tahoma" w:cs="Tahoma"/>
          <w:bCs/>
          <w:sz w:val="23"/>
          <w:szCs w:val="23"/>
        </w:rPr>
        <w:t>D. (2010).</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The public service of the future.</w:t>
      </w:r>
      <w:proofErr w:type="gramEnd"/>
      <w:r w:rsidRPr="00BC22F7">
        <w:rPr>
          <w:rFonts w:ascii="Tahoma" w:hAnsi="Tahoma" w:cs="Tahoma"/>
          <w:bCs/>
          <w:sz w:val="23"/>
          <w:szCs w:val="23"/>
        </w:rPr>
        <w:t> </w:t>
      </w:r>
      <w:r w:rsidRPr="00BC22F7">
        <w:rPr>
          <w:rFonts w:ascii="Tahoma" w:hAnsi="Tahoma" w:cs="Tahoma"/>
          <w:bCs/>
          <w:i/>
          <w:sz w:val="23"/>
          <w:szCs w:val="23"/>
        </w:rPr>
        <w:t>Public Administration Review, 70</w:t>
      </w:r>
      <w:r w:rsidRPr="00BC22F7">
        <w:rPr>
          <w:rFonts w:ascii="Tahoma" w:hAnsi="Tahoma" w:cs="Tahoma"/>
          <w:bCs/>
          <w:sz w:val="23"/>
          <w:szCs w:val="23"/>
        </w:rPr>
        <w:t>, S238-S245</w:t>
      </w:r>
    </w:p>
    <w:p w:rsidR="009F152F" w:rsidRPr="00BC22F7" w:rsidRDefault="009F152F" w:rsidP="004B38CB">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Perry, J.L., </w:t>
      </w:r>
      <w:proofErr w:type="spellStart"/>
      <w:r w:rsidRPr="00BC22F7">
        <w:rPr>
          <w:rFonts w:ascii="Tahoma" w:hAnsi="Tahoma" w:cs="Tahoma"/>
          <w:bCs/>
          <w:sz w:val="23"/>
          <w:szCs w:val="23"/>
        </w:rPr>
        <w:t>Hondeghem</w:t>
      </w:r>
      <w:proofErr w:type="spellEnd"/>
      <w:r w:rsidRPr="00BC22F7">
        <w:rPr>
          <w:rFonts w:ascii="Tahoma" w:hAnsi="Tahoma" w:cs="Tahoma"/>
          <w:bCs/>
          <w:sz w:val="23"/>
          <w:szCs w:val="23"/>
        </w:rPr>
        <w:t xml:space="preserve">, A., &amp; </w:t>
      </w:r>
      <w:proofErr w:type="spellStart"/>
      <w:r w:rsidRPr="00BC22F7" w:rsidDel="00F70E54">
        <w:rPr>
          <w:rFonts w:ascii="Tahoma" w:hAnsi="Tahoma" w:cs="Tahoma"/>
          <w:bCs/>
          <w:sz w:val="23"/>
          <w:szCs w:val="23"/>
        </w:rPr>
        <w:t>Lois</w:t>
      </w:r>
      <w:r w:rsidRPr="00BC22F7">
        <w:rPr>
          <w:rFonts w:ascii="Tahoma" w:hAnsi="Tahoma" w:cs="Tahoma"/>
          <w:bCs/>
          <w:sz w:val="23"/>
          <w:szCs w:val="23"/>
        </w:rPr>
        <w:t>Wise</w:t>
      </w:r>
      <w:proofErr w:type="spellEnd"/>
      <w:r w:rsidRPr="00BC22F7">
        <w:rPr>
          <w:rFonts w:ascii="Tahoma" w:hAnsi="Tahoma" w:cs="Tahoma"/>
          <w:bCs/>
          <w:sz w:val="23"/>
          <w:szCs w:val="23"/>
        </w:rPr>
        <w:t xml:space="preserve">, </w:t>
      </w:r>
      <w:r w:rsidRPr="00BC22F7" w:rsidDel="00F70E54">
        <w:rPr>
          <w:rFonts w:ascii="Tahoma" w:hAnsi="Tahoma" w:cs="Tahoma"/>
          <w:bCs/>
          <w:sz w:val="23"/>
          <w:szCs w:val="23"/>
        </w:rPr>
        <w:t>R</w:t>
      </w:r>
      <w:r w:rsidRPr="00BC22F7">
        <w:rPr>
          <w:rFonts w:ascii="Tahoma" w:hAnsi="Tahoma" w:cs="Tahoma"/>
          <w:bCs/>
          <w:sz w:val="23"/>
          <w:szCs w:val="23"/>
        </w:rPr>
        <w:t xml:space="preserve">L. </w:t>
      </w:r>
      <w:proofErr w:type="gramStart"/>
      <w:r w:rsidRPr="00BC22F7" w:rsidDel="00F70E54">
        <w:rPr>
          <w:rFonts w:ascii="Tahoma" w:hAnsi="Tahoma" w:cs="Tahoma"/>
          <w:bCs/>
          <w:sz w:val="23"/>
          <w:szCs w:val="23"/>
        </w:rPr>
        <w:t>W</w:t>
      </w:r>
      <w:r w:rsidRPr="00BC22F7">
        <w:rPr>
          <w:rFonts w:ascii="Tahoma" w:hAnsi="Tahoma" w:cs="Tahoma"/>
          <w:bCs/>
          <w:sz w:val="23"/>
          <w:szCs w:val="23"/>
        </w:rPr>
        <w:t>R.</w:t>
      </w:r>
      <w:proofErr w:type="gramEnd"/>
      <w:r w:rsidRPr="00BC22F7">
        <w:rPr>
          <w:rFonts w:ascii="Tahoma" w:hAnsi="Tahoma" w:cs="Tahoma"/>
          <w:bCs/>
          <w:sz w:val="23"/>
          <w:szCs w:val="23"/>
        </w:rPr>
        <w:t xml:space="preserve"> (2010). </w:t>
      </w:r>
      <w:proofErr w:type="gramStart"/>
      <w:r w:rsidRPr="00BC22F7">
        <w:rPr>
          <w:rFonts w:ascii="Tahoma" w:hAnsi="Tahoma" w:cs="Tahoma"/>
          <w:bCs/>
          <w:sz w:val="23"/>
          <w:szCs w:val="23"/>
        </w:rPr>
        <w:t>Revisiting</w:t>
      </w:r>
      <w:proofErr w:type="gramEnd"/>
      <w:r w:rsidRPr="00BC22F7">
        <w:rPr>
          <w:rFonts w:ascii="Tahoma" w:hAnsi="Tahoma" w:cs="Tahoma"/>
          <w:bCs/>
          <w:sz w:val="23"/>
          <w:szCs w:val="23"/>
        </w:rPr>
        <w:t xml:space="preserve"> the motivational bases of public service: Twenty years of research and an agenda for the future. </w:t>
      </w:r>
      <w:r w:rsidRPr="00BC22F7">
        <w:rPr>
          <w:rFonts w:ascii="Tahoma" w:hAnsi="Tahoma" w:cs="Tahoma"/>
          <w:bCs/>
          <w:i/>
          <w:sz w:val="23"/>
          <w:szCs w:val="23"/>
        </w:rPr>
        <w:t>Public Administration Review, 70</w:t>
      </w:r>
      <w:r w:rsidRPr="00BC22F7">
        <w:rPr>
          <w:rFonts w:ascii="Tahoma" w:hAnsi="Tahoma" w:cs="Tahoma"/>
          <w:bCs/>
          <w:sz w:val="23"/>
          <w:szCs w:val="23"/>
        </w:rPr>
        <w:t>(5), 681-690.</w:t>
      </w:r>
    </w:p>
    <w:p w:rsidR="009F152F" w:rsidRPr="00BC22F7" w:rsidRDefault="009F152F" w:rsidP="008D5135">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 xml:space="preserve">Pitts, D. W., &amp; </w:t>
      </w:r>
      <w:proofErr w:type="spellStart"/>
      <w:r w:rsidRPr="00BC22F7">
        <w:rPr>
          <w:rFonts w:ascii="Tahoma" w:hAnsi="Tahoma" w:cs="Tahoma"/>
          <w:bCs/>
          <w:sz w:val="23"/>
          <w:szCs w:val="23"/>
        </w:rPr>
        <w:t>Recascino</w:t>
      </w:r>
      <w:proofErr w:type="spellEnd"/>
      <w:r w:rsidRPr="00BC22F7">
        <w:rPr>
          <w:rFonts w:ascii="Tahoma" w:hAnsi="Tahoma" w:cs="Tahoma"/>
          <w:bCs/>
          <w:sz w:val="23"/>
          <w:szCs w:val="23"/>
        </w:rPr>
        <w:t xml:space="preserve"> Wise, L. (2010).</w:t>
      </w:r>
      <w:proofErr w:type="gramEnd"/>
      <w:r w:rsidRPr="00BC22F7">
        <w:rPr>
          <w:rFonts w:ascii="Tahoma" w:hAnsi="Tahoma" w:cs="Tahoma"/>
          <w:bCs/>
          <w:sz w:val="23"/>
          <w:szCs w:val="23"/>
        </w:rPr>
        <w:t xml:space="preserve"> Workforce diversity in the new millennium: Prospects for research. </w:t>
      </w:r>
      <w:r w:rsidRPr="00BC22F7">
        <w:rPr>
          <w:rFonts w:ascii="Tahoma" w:hAnsi="Tahoma" w:cs="Tahoma"/>
          <w:bCs/>
          <w:i/>
          <w:sz w:val="23"/>
          <w:szCs w:val="23"/>
        </w:rPr>
        <w:t>Review of Public Personnel Administration, 30</w:t>
      </w:r>
      <w:r w:rsidRPr="00BC22F7">
        <w:rPr>
          <w:rFonts w:ascii="Tahoma" w:hAnsi="Tahoma" w:cs="Tahoma"/>
          <w:bCs/>
          <w:sz w:val="23"/>
          <w:szCs w:val="23"/>
        </w:rPr>
        <w:t xml:space="preserve">(1), 44-69. </w:t>
      </w:r>
    </w:p>
    <w:p w:rsidR="009F152F" w:rsidRPr="00BC22F7" w:rsidRDefault="009F152F" w:rsidP="004B38CB">
      <w:pPr>
        <w:spacing w:after="0" w:line="240" w:lineRule="auto"/>
        <w:ind w:left="567" w:hanging="567"/>
        <w:rPr>
          <w:rFonts w:ascii="Tahoma" w:hAnsi="Tahoma" w:cs="Tahoma"/>
          <w:sz w:val="23"/>
          <w:szCs w:val="23"/>
        </w:rPr>
      </w:pPr>
      <w:proofErr w:type="gramStart"/>
      <w:r w:rsidRPr="00BC22F7">
        <w:rPr>
          <w:rFonts w:ascii="Tahoma" w:hAnsi="Tahoma" w:cs="Tahoma"/>
          <w:sz w:val="23"/>
          <w:szCs w:val="23"/>
        </w:rPr>
        <w:t>Public Service Commission of Canada (2011).</w:t>
      </w:r>
      <w:proofErr w:type="gramEnd"/>
      <w:r w:rsidRPr="00BC22F7">
        <w:rPr>
          <w:rFonts w:ascii="Tahoma" w:hAnsi="Tahoma" w:cs="Tahoma"/>
          <w:sz w:val="23"/>
          <w:szCs w:val="23"/>
        </w:rPr>
        <w:t xml:space="preserve">  History of Employment Equity in the Public Service and the Public Service Commission of Canada, Retrieved December 25, 2012 from </w:t>
      </w:r>
      <w:hyperlink r:id="rId14" w:history="1">
        <w:r w:rsidRPr="00BC22F7">
          <w:rPr>
            <w:rStyle w:val="Hyperlink"/>
            <w:rFonts w:ascii="Tahoma" w:hAnsi="Tahoma" w:cs="Tahoma"/>
            <w:sz w:val="23"/>
            <w:szCs w:val="23"/>
          </w:rPr>
          <w:t>http://www.psc-cfp.gc.ca/plcy-pltq/eead-eeed/rprt/ee-psc-cfp/pdf/ee-psc-cfp-eng.pdf</w:t>
        </w:r>
      </w:hyperlink>
    </w:p>
    <w:p w:rsidR="009F152F" w:rsidRPr="00BC22F7" w:rsidRDefault="009F152F" w:rsidP="004B38CB">
      <w:pPr>
        <w:spacing w:after="0" w:line="240" w:lineRule="auto"/>
        <w:ind w:left="567" w:hanging="567"/>
        <w:rPr>
          <w:rFonts w:ascii="Tahoma" w:hAnsi="Tahoma" w:cs="Tahoma"/>
          <w:bCs/>
          <w:sz w:val="23"/>
          <w:szCs w:val="23"/>
        </w:rPr>
      </w:pPr>
      <w:r w:rsidRPr="00BC22F7">
        <w:rPr>
          <w:rFonts w:ascii="Tahoma" w:hAnsi="Tahoma" w:cs="Tahoma"/>
          <w:bCs/>
          <w:sz w:val="23"/>
          <w:szCs w:val="23"/>
        </w:rPr>
        <w:t>Rich, H. (</w:t>
      </w:r>
      <w:r w:rsidRPr="00BC22F7" w:rsidDel="00B61732">
        <w:rPr>
          <w:rFonts w:ascii="Tahoma" w:hAnsi="Tahoma" w:cs="Tahoma"/>
          <w:bCs/>
          <w:sz w:val="23"/>
          <w:szCs w:val="23"/>
        </w:rPr>
        <w:t>1976</w:t>
      </w:r>
      <w:r w:rsidRPr="00BC22F7">
        <w:rPr>
          <w:rFonts w:ascii="Tahoma" w:hAnsi="Tahoma" w:cs="Tahoma"/>
          <w:bCs/>
          <w:sz w:val="23"/>
          <w:szCs w:val="23"/>
        </w:rPr>
        <w:t xml:space="preserve">1975).  </w:t>
      </w:r>
      <w:proofErr w:type="gramStart"/>
      <w:r w:rsidRPr="00BC22F7">
        <w:rPr>
          <w:rFonts w:ascii="Tahoma" w:hAnsi="Tahoma" w:cs="Tahoma"/>
          <w:bCs/>
          <w:sz w:val="23"/>
          <w:szCs w:val="23"/>
        </w:rPr>
        <w:t>The Canadian case for representative bureaucracy.</w:t>
      </w:r>
      <w:proofErr w:type="gramEnd"/>
      <w:r w:rsidRPr="00BC22F7">
        <w:rPr>
          <w:rFonts w:ascii="Tahoma" w:hAnsi="Tahoma" w:cs="Tahoma"/>
          <w:bCs/>
          <w:sz w:val="23"/>
          <w:szCs w:val="23"/>
        </w:rPr>
        <w:t xml:space="preserve">  </w:t>
      </w:r>
      <w:r w:rsidRPr="00BC22F7">
        <w:rPr>
          <w:rFonts w:ascii="Tahoma" w:hAnsi="Tahoma" w:cs="Tahoma"/>
          <w:bCs/>
          <w:i/>
          <w:sz w:val="23"/>
          <w:szCs w:val="23"/>
        </w:rPr>
        <w:t>Political Science, 27</w:t>
      </w:r>
      <w:r w:rsidRPr="00BC22F7">
        <w:rPr>
          <w:rFonts w:ascii="Tahoma" w:hAnsi="Tahoma" w:cs="Tahoma"/>
          <w:bCs/>
          <w:sz w:val="23"/>
          <w:szCs w:val="23"/>
        </w:rPr>
        <w:t>(1/2), 97-110.</w:t>
      </w:r>
    </w:p>
    <w:p w:rsidR="009F152F" w:rsidRPr="00BC22F7" w:rsidRDefault="009F152F" w:rsidP="004B38CB">
      <w:pPr>
        <w:spacing w:after="0" w:line="240" w:lineRule="auto"/>
        <w:ind w:left="567" w:hanging="567"/>
        <w:rPr>
          <w:rFonts w:ascii="Tahoma" w:hAnsi="Tahoma" w:cs="Tahoma"/>
          <w:bCs/>
          <w:sz w:val="23"/>
          <w:szCs w:val="23"/>
        </w:rPr>
      </w:pPr>
      <w:proofErr w:type="spellStart"/>
      <w:proofErr w:type="gramStart"/>
      <w:r w:rsidRPr="00BC22F7">
        <w:rPr>
          <w:rFonts w:ascii="Tahoma" w:hAnsi="Tahoma" w:cs="Tahoma"/>
          <w:bCs/>
          <w:sz w:val="23"/>
          <w:szCs w:val="23"/>
        </w:rPr>
        <w:t>Roch</w:t>
      </w:r>
      <w:proofErr w:type="spellEnd"/>
      <w:r w:rsidRPr="00BC22F7">
        <w:rPr>
          <w:rFonts w:ascii="Tahoma" w:hAnsi="Tahoma" w:cs="Tahoma"/>
          <w:bCs/>
          <w:sz w:val="23"/>
          <w:szCs w:val="23"/>
        </w:rPr>
        <w:t>, C. H., Pitts, D. W., &amp; Navarro, I. (2010).</w:t>
      </w:r>
      <w:proofErr w:type="gramEnd"/>
      <w:r w:rsidRPr="00BC22F7">
        <w:rPr>
          <w:rFonts w:ascii="Tahoma" w:hAnsi="Tahoma" w:cs="Tahoma"/>
          <w:bCs/>
          <w:sz w:val="23"/>
          <w:szCs w:val="23"/>
        </w:rPr>
        <w:t xml:space="preserve"> Representative bureaucracy and policy tools: Ethnicity, student discipline, and representation in public schools. </w:t>
      </w:r>
      <w:r w:rsidRPr="00BC22F7">
        <w:rPr>
          <w:rFonts w:ascii="Tahoma" w:hAnsi="Tahoma" w:cs="Tahoma"/>
          <w:bCs/>
          <w:i/>
          <w:sz w:val="23"/>
          <w:szCs w:val="23"/>
        </w:rPr>
        <w:t>Administration &amp; Society, 42</w:t>
      </w:r>
      <w:r w:rsidRPr="00BC22F7">
        <w:rPr>
          <w:rFonts w:ascii="Tahoma" w:hAnsi="Tahoma" w:cs="Tahoma"/>
          <w:bCs/>
          <w:sz w:val="23"/>
          <w:szCs w:val="23"/>
        </w:rPr>
        <w:t xml:space="preserve">(1), 38-65. </w:t>
      </w:r>
    </w:p>
    <w:p w:rsidR="009F152F" w:rsidRPr="00BC22F7" w:rsidRDefault="009F152F">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lastRenderedPageBreak/>
        <w:t>Schweitzer, L., Ng, E., Lyons, S., &amp; Kuron, L. (2011).</w:t>
      </w:r>
      <w:proofErr w:type="gramEnd"/>
      <w:r w:rsidRPr="00BC22F7">
        <w:rPr>
          <w:rFonts w:ascii="Tahoma" w:hAnsi="Tahoma" w:cs="Tahoma"/>
          <w:bCs/>
          <w:sz w:val="23"/>
          <w:szCs w:val="23"/>
        </w:rPr>
        <w:t xml:space="preserve"> </w:t>
      </w:r>
      <w:proofErr w:type="gramStart"/>
      <w:r w:rsidRPr="00BC22F7">
        <w:rPr>
          <w:rFonts w:ascii="Tahoma" w:hAnsi="Tahoma" w:cs="Tahoma"/>
          <w:bCs/>
          <w:sz w:val="23"/>
          <w:szCs w:val="23"/>
        </w:rPr>
        <w:t>Exploring the career pipeline: Gender differences in pre-career expectations.</w:t>
      </w:r>
      <w:proofErr w:type="gramEnd"/>
      <w:r w:rsidRPr="00BC22F7">
        <w:rPr>
          <w:rFonts w:ascii="Tahoma" w:hAnsi="Tahoma" w:cs="Tahoma"/>
          <w:bCs/>
          <w:sz w:val="23"/>
          <w:szCs w:val="23"/>
        </w:rPr>
        <w:t> </w:t>
      </w:r>
      <w:proofErr w:type="gramStart"/>
      <w:r w:rsidRPr="00BC22F7">
        <w:rPr>
          <w:rFonts w:ascii="Tahoma" w:hAnsi="Tahoma" w:cs="Tahoma"/>
          <w:bCs/>
          <w:i/>
          <w:sz w:val="23"/>
          <w:szCs w:val="23"/>
        </w:rPr>
        <w:t xml:space="preserve">Relations </w:t>
      </w:r>
      <w:proofErr w:type="spellStart"/>
      <w:r w:rsidRPr="00BC22F7">
        <w:rPr>
          <w:rFonts w:ascii="Tahoma" w:hAnsi="Tahoma" w:cs="Tahoma"/>
          <w:bCs/>
          <w:i/>
          <w:sz w:val="23"/>
          <w:szCs w:val="23"/>
        </w:rPr>
        <w:t>industrielles</w:t>
      </w:r>
      <w:proofErr w:type="spellEnd"/>
      <w:r w:rsidRPr="00BC22F7">
        <w:rPr>
          <w:rFonts w:ascii="Tahoma" w:hAnsi="Tahoma" w:cs="Tahoma"/>
          <w:bCs/>
          <w:i/>
          <w:sz w:val="23"/>
          <w:szCs w:val="23"/>
        </w:rPr>
        <w:t>/Industrial Relations, 66</w:t>
      </w:r>
      <w:r w:rsidRPr="00BC22F7">
        <w:rPr>
          <w:rFonts w:ascii="Tahoma" w:hAnsi="Tahoma" w:cs="Tahoma"/>
          <w:bCs/>
          <w:sz w:val="23"/>
          <w:szCs w:val="23"/>
        </w:rPr>
        <w:t>(3), 422-444.</w:t>
      </w:r>
      <w:proofErr w:type="gramEnd"/>
    </w:p>
    <w:p w:rsidR="009F152F" w:rsidRPr="00BC22F7" w:rsidRDefault="009F152F" w:rsidP="008D5135">
      <w:pPr>
        <w:spacing w:after="0" w:line="240" w:lineRule="auto"/>
        <w:ind w:left="567" w:hanging="567"/>
        <w:rPr>
          <w:rFonts w:ascii="Tahoma" w:hAnsi="Tahoma" w:cs="Tahoma"/>
          <w:sz w:val="23"/>
          <w:szCs w:val="23"/>
        </w:rPr>
      </w:pPr>
      <w:proofErr w:type="gramStart"/>
      <w:r w:rsidRPr="00BC22F7">
        <w:rPr>
          <w:rFonts w:ascii="Tahoma" w:hAnsi="Tahoma" w:cs="Tahoma"/>
          <w:sz w:val="23"/>
          <w:szCs w:val="23"/>
        </w:rPr>
        <w:t>Statistics Canada (2011).</w:t>
      </w:r>
      <w:proofErr w:type="gramEnd"/>
      <w:r w:rsidRPr="00BC22F7">
        <w:rPr>
          <w:rFonts w:ascii="Tahoma" w:hAnsi="Tahoma" w:cs="Tahoma"/>
          <w:sz w:val="23"/>
          <w:szCs w:val="23"/>
        </w:rPr>
        <w:t xml:space="preserve"> Projected trends to 2031 for the Canadian labour force.  Retrieved January 28, 2013 from </w:t>
      </w:r>
      <w:hyperlink r:id="rId15" w:history="1">
        <w:r w:rsidRPr="00BC22F7">
          <w:rPr>
            <w:rStyle w:val="Hyperlink"/>
            <w:rFonts w:ascii="Tahoma" w:hAnsi="Tahoma" w:cs="Tahoma"/>
            <w:sz w:val="23"/>
            <w:szCs w:val="23"/>
          </w:rPr>
          <w:t>http://www.statcan.gc.ca/pub/11-010-x/2011008/part-partie3-eng.htm</w:t>
        </w:r>
      </w:hyperlink>
    </w:p>
    <w:p w:rsidR="009F152F" w:rsidRPr="00BC22F7" w:rsidRDefault="009F152F">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Steen, T. (2006).</w:t>
      </w:r>
      <w:proofErr w:type="gramEnd"/>
      <w:r w:rsidRPr="00BC22F7">
        <w:rPr>
          <w:rFonts w:ascii="Tahoma" w:hAnsi="Tahoma" w:cs="Tahoma"/>
          <w:bCs/>
          <w:sz w:val="23"/>
          <w:szCs w:val="23"/>
        </w:rPr>
        <w:t xml:space="preserve"> Public service motivation: Is there something to learn from the study of volunteerism? </w:t>
      </w:r>
      <w:r w:rsidRPr="00BC22F7">
        <w:rPr>
          <w:rFonts w:ascii="Tahoma" w:hAnsi="Tahoma" w:cs="Tahoma"/>
          <w:bCs/>
          <w:i/>
          <w:sz w:val="23"/>
          <w:szCs w:val="23"/>
        </w:rPr>
        <w:t>Public Policy and Administration, 21</w:t>
      </w:r>
      <w:r w:rsidRPr="00BC22F7">
        <w:rPr>
          <w:rFonts w:ascii="Tahoma" w:hAnsi="Tahoma" w:cs="Tahoma"/>
          <w:bCs/>
          <w:sz w:val="23"/>
          <w:szCs w:val="23"/>
        </w:rPr>
        <w:t>(1), 49-62.</w:t>
      </w:r>
    </w:p>
    <w:p w:rsidR="009F152F" w:rsidRPr="00BC22F7" w:rsidRDefault="009F152F">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Steen, T. (2008).</w:t>
      </w:r>
      <w:proofErr w:type="gramEnd"/>
      <w:r w:rsidRPr="00BC22F7">
        <w:rPr>
          <w:rFonts w:ascii="Tahoma" w:hAnsi="Tahoma" w:cs="Tahoma"/>
          <w:bCs/>
          <w:sz w:val="23"/>
          <w:szCs w:val="23"/>
        </w:rPr>
        <w:t xml:space="preserve"> Not a government monopoly: The private, </w:t>
      </w:r>
      <w:proofErr w:type="spellStart"/>
      <w:r w:rsidRPr="00BC22F7">
        <w:rPr>
          <w:rFonts w:ascii="Tahoma" w:hAnsi="Tahoma" w:cs="Tahoma"/>
          <w:bCs/>
          <w:sz w:val="23"/>
          <w:szCs w:val="23"/>
        </w:rPr>
        <w:t>nonprofit</w:t>
      </w:r>
      <w:proofErr w:type="spellEnd"/>
      <w:r w:rsidRPr="00BC22F7">
        <w:rPr>
          <w:rFonts w:ascii="Tahoma" w:hAnsi="Tahoma" w:cs="Tahoma"/>
          <w:bCs/>
          <w:sz w:val="23"/>
          <w:szCs w:val="23"/>
        </w:rPr>
        <w:t xml:space="preserve"> and voluntary sectors. </w:t>
      </w:r>
      <w:proofErr w:type="gramStart"/>
      <w:r w:rsidRPr="00BC22F7">
        <w:rPr>
          <w:rFonts w:ascii="Tahoma" w:hAnsi="Tahoma" w:cs="Tahoma"/>
          <w:bCs/>
          <w:sz w:val="23"/>
          <w:szCs w:val="23"/>
        </w:rPr>
        <w:t xml:space="preserve">In J. L. Perry &amp; A. </w:t>
      </w:r>
      <w:proofErr w:type="spellStart"/>
      <w:r w:rsidRPr="00BC22F7">
        <w:rPr>
          <w:rFonts w:ascii="Tahoma" w:hAnsi="Tahoma" w:cs="Tahoma"/>
          <w:bCs/>
          <w:sz w:val="23"/>
          <w:szCs w:val="23"/>
        </w:rPr>
        <w:t>Hondeghem</w:t>
      </w:r>
      <w:proofErr w:type="spellEnd"/>
      <w:r w:rsidRPr="00BC22F7">
        <w:rPr>
          <w:rFonts w:ascii="Tahoma" w:hAnsi="Tahoma" w:cs="Tahoma"/>
          <w:bCs/>
          <w:sz w:val="23"/>
          <w:szCs w:val="23"/>
        </w:rPr>
        <w:t xml:space="preserve"> (Eds.), </w:t>
      </w:r>
      <w:r w:rsidRPr="00BC22F7">
        <w:rPr>
          <w:rFonts w:ascii="Tahoma" w:hAnsi="Tahoma" w:cs="Tahoma"/>
          <w:bCs/>
          <w:i/>
          <w:sz w:val="23"/>
          <w:szCs w:val="23"/>
        </w:rPr>
        <w:t>Motivation in public management.</w:t>
      </w:r>
      <w:proofErr w:type="gramEnd"/>
      <w:r w:rsidRPr="00BC22F7">
        <w:rPr>
          <w:rFonts w:ascii="Tahoma" w:hAnsi="Tahoma" w:cs="Tahoma"/>
          <w:bCs/>
          <w:i/>
          <w:sz w:val="23"/>
          <w:szCs w:val="23"/>
        </w:rPr>
        <w:t xml:space="preserve"> The call of public service</w:t>
      </w:r>
      <w:r w:rsidRPr="00BC22F7">
        <w:rPr>
          <w:rFonts w:ascii="Tahoma" w:hAnsi="Tahoma" w:cs="Tahoma"/>
          <w:bCs/>
          <w:sz w:val="23"/>
          <w:szCs w:val="23"/>
        </w:rPr>
        <w:t>, pp. 203-222. Oxford, UK: Oxford University Press.</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Taylor, J. (2005a). Recruiting university graduates for the public sector: An Australian case study. </w:t>
      </w:r>
      <w:r w:rsidRPr="00BC22F7">
        <w:rPr>
          <w:rFonts w:ascii="Tahoma" w:hAnsi="Tahoma" w:cs="Tahoma"/>
          <w:bCs/>
          <w:i/>
          <w:sz w:val="23"/>
          <w:szCs w:val="23"/>
        </w:rPr>
        <w:t xml:space="preserve"> International Journal of Public Sector Management, 18</w:t>
      </w:r>
      <w:r w:rsidRPr="00BC22F7">
        <w:rPr>
          <w:rFonts w:ascii="Tahoma" w:hAnsi="Tahoma" w:cs="Tahoma"/>
          <w:bCs/>
          <w:sz w:val="23"/>
          <w:szCs w:val="23"/>
        </w:rPr>
        <w:t xml:space="preserve">(6), 514-533. </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Taylor, J. (2005b). The next generation of workers in Australia: Their views on </w:t>
      </w:r>
      <w:proofErr w:type="gramStart"/>
      <w:r w:rsidRPr="00BC22F7">
        <w:rPr>
          <w:rFonts w:ascii="Tahoma" w:hAnsi="Tahoma" w:cs="Tahoma"/>
          <w:bCs/>
          <w:sz w:val="23"/>
          <w:szCs w:val="23"/>
        </w:rPr>
        <w:t>organizations,</w:t>
      </w:r>
      <w:proofErr w:type="gramEnd"/>
      <w:r w:rsidRPr="00BC22F7">
        <w:rPr>
          <w:rFonts w:ascii="Tahoma" w:hAnsi="Tahoma" w:cs="Tahoma"/>
          <w:bCs/>
          <w:sz w:val="23"/>
          <w:szCs w:val="23"/>
        </w:rPr>
        <w:t xml:space="preserve"> work and rewards. </w:t>
      </w:r>
      <w:r w:rsidRPr="00BC22F7">
        <w:rPr>
          <w:rFonts w:ascii="Tahoma" w:hAnsi="Tahoma" w:cs="Tahoma"/>
          <w:bCs/>
          <w:i/>
          <w:sz w:val="23"/>
          <w:szCs w:val="23"/>
        </w:rPr>
        <w:t xml:space="preserve"> International Journal of Human Resource Management, 16</w:t>
      </w:r>
      <w:r w:rsidRPr="00BC22F7">
        <w:rPr>
          <w:rFonts w:ascii="Tahoma" w:hAnsi="Tahoma" w:cs="Tahoma"/>
          <w:bCs/>
          <w:sz w:val="23"/>
          <w:szCs w:val="23"/>
        </w:rPr>
        <w:t>(10), 1919-1933. </w:t>
      </w:r>
    </w:p>
    <w:p w:rsidR="009F152F" w:rsidRPr="00BC22F7" w:rsidRDefault="009F152F" w:rsidP="00881D36">
      <w:pPr>
        <w:pStyle w:val="BodyTextIndent"/>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t>Thielemann</w:t>
      </w:r>
      <w:proofErr w:type="spellEnd"/>
      <w:r w:rsidRPr="00BC22F7">
        <w:rPr>
          <w:rFonts w:ascii="Tahoma" w:hAnsi="Tahoma" w:cs="Tahoma"/>
          <w:bCs/>
          <w:sz w:val="23"/>
          <w:szCs w:val="23"/>
        </w:rPr>
        <w:t xml:space="preserve">, G. S., &amp; Stewart, </w:t>
      </w:r>
      <w:proofErr w:type="spellStart"/>
      <w:r w:rsidRPr="00BC22F7">
        <w:rPr>
          <w:rFonts w:ascii="Tahoma" w:hAnsi="Tahoma" w:cs="Tahoma"/>
          <w:bCs/>
          <w:sz w:val="23"/>
          <w:szCs w:val="23"/>
        </w:rPr>
        <w:t>J.</w:t>
      </w:r>
      <w:proofErr w:type="gramStart"/>
      <w:r w:rsidRPr="00BC22F7">
        <w:rPr>
          <w:rFonts w:ascii="Tahoma" w:hAnsi="Tahoma" w:cs="Tahoma"/>
          <w:bCs/>
          <w:sz w:val="23"/>
          <w:szCs w:val="23"/>
        </w:rPr>
        <w:t>,Jr</w:t>
      </w:r>
      <w:proofErr w:type="spellEnd"/>
      <w:proofErr w:type="gramEnd"/>
      <w:r w:rsidRPr="00BC22F7">
        <w:rPr>
          <w:rFonts w:ascii="Tahoma" w:hAnsi="Tahoma" w:cs="Tahoma"/>
          <w:bCs/>
          <w:sz w:val="23"/>
          <w:szCs w:val="23"/>
        </w:rPr>
        <w:t>. (1996). A demand-side perspective on the importance representative bureaucracy: AIDS, ethnicity, gender, and sexual orientation. </w:t>
      </w:r>
      <w:proofErr w:type="gramStart"/>
      <w:r w:rsidRPr="00BC22F7">
        <w:rPr>
          <w:rFonts w:ascii="Tahoma" w:hAnsi="Tahoma" w:cs="Tahoma"/>
          <w:bCs/>
          <w:i/>
          <w:sz w:val="23"/>
          <w:szCs w:val="23"/>
        </w:rPr>
        <w:t>Public Administration Review, 56</w:t>
      </w:r>
      <w:r w:rsidRPr="00BC22F7">
        <w:rPr>
          <w:rFonts w:ascii="Tahoma" w:hAnsi="Tahoma" w:cs="Tahoma"/>
          <w:bCs/>
          <w:sz w:val="23"/>
          <w:szCs w:val="23"/>
        </w:rPr>
        <w:t>(2), 168-168.</w:t>
      </w:r>
      <w:proofErr w:type="gramEnd"/>
    </w:p>
    <w:p w:rsidR="009F152F" w:rsidRPr="00BC22F7" w:rsidRDefault="009F152F" w:rsidP="004B38CB">
      <w:pPr>
        <w:spacing w:after="0" w:line="240" w:lineRule="auto"/>
        <w:ind w:left="567" w:hanging="567"/>
        <w:rPr>
          <w:rFonts w:ascii="Tahoma" w:hAnsi="Tahoma" w:cs="Tahoma"/>
          <w:bCs/>
          <w:sz w:val="23"/>
          <w:szCs w:val="23"/>
        </w:rPr>
      </w:pPr>
      <w:proofErr w:type="spellStart"/>
      <w:proofErr w:type="gramStart"/>
      <w:r w:rsidRPr="00BC22F7">
        <w:rPr>
          <w:rFonts w:ascii="Tahoma" w:eastAsia="Calibri" w:hAnsi="Tahoma" w:cs="Tahoma"/>
          <w:bCs/>
          <w:sz w:val="23"/>
          <w:szCs w:val="23"/>
        </w:rPr>
        <w:t>Vandenabeele</w:t>
      </w:r>
      <w:proofErr w:type="spellEnd"/>
      <w:r w:rsidRPr="00BC22F7">
        <w:rPr>
          <w:rFonts w:ascii="Tahoma" w:eastAsia="Calibri" w:hAnsi="Tahoma" w:cs="Tahoma"/>
          <w:bCs/>
          <w:sz w:val="23"/>
          <w:szCs w:val="23"/>
        </w:rPr>
        <w:t xml:space="preserve">, W. </w:t>
      </w:r>
      <w:r w:rsidRPr="00BC22F7">
        <w:rPr>
          <w:rFonts w:ascii="Tahoma" w:hAnsi="Tahoma" w:cs="Tahoma"/>
          <w:bCs/>
          <w:sz w:val="23"/>
          <w:szCs w:val="23"/>
        </w:rPr>
        <w:t>(</w:t>
      </w:r>
      <w:r w:rsidRPr="00BC22F7">
        <w:rPr>
          <w:rFonts w:ascii="Tahoma" w:eastAsia="Calibri" w:hAnsi="Tahoma" w:cs="Tahoma"/>
          <w:bCs/>
          <w:sz w:val="23"/>
          <w:szCs w:val="23"/>
        </w:rPr>
        <w:t>2007</w:t>
      </w:r>
      <w:r w:rsidRPr="00BC22F7">
        <w:rPr>
          <w:rFonts w:ascii="Tahoma" w:hAnsi="Tahoma" w:cs="Tahoma"/>
          <w:bCs/>
          <w:sz w:val="23"/>
          <w:szCs w:val="23"/>
        </w:rPr>
        <w:t>)</w:t>
      </w:r>
      <w:r w:rsidRPr="00BC22F7">
        <w:rPr>
          <w:rFonts w:ascii="Tahoma" w:eastAsia="Calibri" w:hAnsi="Tahoma" w:cs="Tahoma"/>
          <w:bCs/>
          <w:sz w:val="23"/>
          <w:szCs w:val="23"/>
        </w:rPr>
        <w:t>.</w:t>
      </w:r>
      <w:proofErr w:type="gramEnd"/>
      <w:r w:rsidRPr="00BC22F7">
        <w:rPr>
          <w:rFonts w:ascii="Tahoma" w:eastAsia="Calibri" w:hAnsi="Tahoma" w:cs="Tahoma"/>
          <w:bCs/>
          <w:sz w:val="23"/>
          <w:szCs w:val="23"/>
        </w:rPr>
        <w:t xml:space="preserve">  International differences in public service motivation: Comparing regions across the world.  In J.L. Perry &amp; A. </w:t>
      </w:r>
      <w:proofErr w:type="spellStart"/>
      <w:r w:rsidRPr="00BC22F7">
        <w:rPr>
          <w:rFonts w:ascii="Tahoma" w:eastAsia="Calibri" w:hAnsi="Tahoma" w:cs="Tahoma"/>
          <w:bCs/>
          <w:sz w:val="23"/>
          <w:szCs w:val="23"/>
        </w:rPr>
        <w:t>Hondeghem</w:t>
      </w:r>
      <w:proofErr w:type="spellEnd"/>
      <w:r w:rsidRPr="00BC22F7">
        <w:rPr>
          <w:rFonts w:ascii="Tahoma" w:eastAsia="Calibri" w:hAnsi="Tahoma" w:cs="Tahoma"/>
          <w:bCs/>
          <w:sz w:val="23"/>
          <w:szCs w:val="23"/>
        </w:rPr>
        <w:t xml:space="preserve"> (</w:t>
      </w:r>
      <w:proofErr w:type="spellStart"/>
      <w:r w:rsidRPr="00BC22F7">
        <w:rPr>
          <w:rFonts w:ascii="Tahoma" w:eastAsia="Calibri" w:hAnsi="Tahoma" w:cs="Tahoma"/>
          <w:bCs/>
          <w:sz w:val="23"/>
          <w:szCs w:val="23"/>
        </w:rPr>
        <w:t>Eds</w:t>
      </w:r>
      <w:proofErr w:type="spellEnd"/>
      <w:r w:rsidRPr="00BC22F7">
        <w:rPr>
          <w:rFonts w:ascii="Tahoma" w:eastAsia="Calibri" w:hAnsi="Tahoma" w:cs="Tahoma"/>
          <w:bCs/>
          <w:sz w:val="23"/>
          <w:szCs w:val="23"/>
        </w:rPr>
        <w:t xml:space="preserve">), </w:t>
      </w:r>
      <w:r w:rsidRPr="00BC22F7">
        <w:rPr>
          <w:rFonts w:ascii="Tahoma" w:eastAsia="Calibri" w:hAnsi="Tahoma" w:cs="Tahoma"/>
          <w:bCs/>
          <w:i/>
          <w:sz w:val="23"/>
          <w:szCs w:val="23"/>
        </w:rPr>
        <w:t xml:space="preserve">Motivation in public management: The call of public service.  </w:t>
      </w:r>
      <w:r w:rsidRPr="00BC22F7">
        <w:rPr>
          <w:rFonts w:ascii="Tahoma" w:eastAsia="Calibri" w:hAnsi="Tahoma" w:cs="Tahoma"/>
          <w:bCs/>
          <w:sz w:val="23"/>
          <w:szCs w:val="23"/>
        </w:rPr>
        <w:t>Oxf</w:t>
      </w:r>
      <w:r w:rsidRPr="00BC22F7">
        <w:rPr>
          <w:rFonts w:ascii="Tahoma" w:hAnsi="Tahoma" w:cs="Tahoma"/>
          <w:bCs/>
          <w:sz w:val="23"/>
          <w:szCs w:val="23"/>
        </w:rPr>
        <w:t>ord: Oxford University, 223-246.</w:t>
      </w:r>
    </w:p>
    <w:p w:rsidR="009F152F" w:rsidRPr="00BC22F7" w:rsidRDefault="009F152F" w:rsidP="004B38CB">
      <w:pPr>
        <w:spacing w:after="0" w:line="240" w:lineRule="auto"/>
        <w:ind w:left="567" w:hanging="567"/>
        <w:rPr>
          <w:rFonts w:ascii="Tahoma" w:hAnsi="Tahoma" w:cs="Tahoma"/>
          <w:bCs/>
          <w:sz w:val="23"/>
          <w:szCs w:val="23"/>
        </w:rPr>
      </w:pPr>
      <w:proofErr w:type="spellStart"/>
      <w:proofErr w:type="gramStart"/>
      <w:r w:rsidRPr="00BC22F7">
        <w:rPr>
          <w:rFonts w:ascii="Tahoma" w:hAnsi="Tahoma" w:cs="Tahoma"/>
          <w:bCs/>
          <w:sz w:val="23"/>
          <w:szCs w:val="23"/>
        </w:rPr>
        <w:t>Vandenabeele</w:t>
      </w:r>
      <w:proofErr w:type="spellEnd"/>
      <w:r w:rsidRPr="00BC22F7">
        <w:rPr>
          <w:rFonts w:ascii="Tahoma" w:hAnsi="Tahoma" w:cs="Tahoma"/>
          <w:bCs/>
          <w:sz w:val="23"/>
          <w:szCs w:val="23"/>
        </w:rPr>
        <w:t>, W. (2008).</w:t>
      </w:r>
      <w:proofErr w:type="gramEnd"/>
      <w:r w:rsidRPr="00BC22F7">
        <w:rPr>
          <w:rFonts w:ascii="Tahoma" w:hAnsi="Tahoma" w:cs="Tahoma"/>
          <w:bCs/>
          <w:sz w:val="23"/>
          <w:szCs w:val="23"/>
        </w:rPr>
        <w:t xml:space="preserve"> Government calling: Public service motivation as an element in selecting government as an employer of choice. </w:t>
      </w:r>
      <w:r w:rsidRPr="00BC22F7">
        <w:rPr>
          <w:rFonts w:ascii="Tahoma" w:hAnsi="Tahoma" w:cs="Tahoma"/>
          <w:bCs/>
          <w:i/>
          <w:sz w:val="23"/>
          <w:szCs w:val="23"/>
        </w:rPr>
        <w:t>Public Administration, 86</w:t>
      </w:r>
      <w:r w:rsidRPr="00BC22F7">
        <w:rPr>
          <w:rFonts w:ascii="Tahoma" w:hAnsi="Tahoma" w:cs="Tahoma"/>
          <w:bCs/>
          <w:sz w:val="23"/>
          <w:szCs w:val="23"/>
        </w:rPr>
        <w:t>(4), 1089-1105.</w:t>
      </w:r>
    </w:p>
    <w:p w:rsidR="009F152F" w:rsidRPr="00BC22F7" w:rsidRDefault="009F152F" w:rsidP="004B38CB">
      <w:pPr>
        <w:spacing w:after="0" w:line="240" w:lineRule="auto"/>
        <w:ind w:left="567" w:hanging="567"/>
        <w:rPr>
          <w:rFonts w:ascii="Tahoma" w:hAnsi="Tahoma" w:cs="Tahoma"/>
          <w:bCs/>
          <w:sz w:val="23"/>
          <w:szCs w:val="23"/>
        </w:rPr>
      </w:pPr>
      <w:proofErr w:type="spellStart"/>
      <w:proofErr w:type="gramStart"/>
      <w:r w:rsidRPr="00BC22F7">
        <w:rPr>
          <w:rFonts w:ascii="Tahoma" w:hAnsi="Tahoma" w:cs="Tahoma"/>
          <w:bCs/>
          <w:sz w:val="23"/>
          <w:szCs w:val="23"/>
        </w:rPr>
        <w:t>Vandenabeele</w:t>
      </w:r>
      <w:proofErr w:type="spellEnd"/>
      <w:r w:rsidRPr="00BC22F7">
        <w:rPr>
          <w:rFonts w:ascii="Tahoma" w:hAnsi="Tahoma" w:cs="Tahoma"/>
          <w:bCs/>
          <w:sz w:val="23"/>
          <w:szCs w:val="23"/>
        </w:rPr>
        <w:t>, W. (2011).</w:t>
      </w:r>
      <w:proofErr w:type="gramEnd"/>
      <w:r w:rsidRPr="00BC22F7">
        <w:rPr>
          <w:rFonts w:ascii="Tahoma" w:hAnsi="Tahoma" w:cs="Tahoma"/>
          <w:bCs/>
          <w:sz w:val="23"/>
          <w:szCs w:val="23"/>
        </w:rPr>
        <w:t xml:space="preserve"> Who wants to deliver public service? Do institutional antecedents of public service motivation provide an answer? </w:t>
      </w:r>
      <w:r w:rsidRPr="00BC22F7">
        <w:rPr>
          <w:rFonts w:ascii="Tahoma" w:hAnsi="Tahoma" w:cs="Tahoma"/>
          <w:bCs/>
          <w:i/>
          <w:sz w:val="23"/>
          <w:szCs w:val="23"/>
        </w:rPr>
        <w:t>Review of Public Personnel Administration, 31</w:t>
      </w:r>
      <w:r w:rsidRPr="00BC22F7">
        <w:rPr>
          <w:rFonts w:ascii="Tahoma" w:hAnsi="Tahoma" w:cs="Tahoma"/>
          <w:bCs/>
          <w:sz w:val="23"/>
          <w:szCs w:val="23"/>
        </w:rPr>
        <w:t>(1), 87-107.</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Wayland, S. V. (2003). Immigration and transnational political ties: Croatians and Sri Lankan Tamils in </w:t>
      </w:r>
      <w:proofErr w:type="spellStart"/>
      <w:r w:rsidRPr="00BC22F7" w:rsidDel="002945F2">
        <w:rPr>
          <w:rFonts w:ascii="Tahoma" w:hAnsi="Tahoma" w:cs="Tahoma"/>
          <w:bCs/>
          <w:sz w:val="23"/>
          <w:szCs w:val="23"/>
        </w:rPr>
        <w:t>canada</w:t>
      </w:r>
      <w:r w:rsidRPr="00BC22F7">
        <w:rPr>
          <w:rFonts w:ascii="Tahoma" w:hAnsi="Tahoma" w:cs="Tahoma"/>
          <w:bCs/>
          <w:sz w:val="23"/>
          <w:szCs w:val="23"/>
        </w:rPr>
        <w:t>Canada</w:t>
      </w:r>
      <w:proofErr w:type="spellEnd"/>
      <w:r w:rsidRPr="00BC22F7">
        <w:rPr>
          <w:rFonts w:ascii="Tahoma" w:hAnsi="Tahoma" w:cs="Tahoma"/>
          <w:bCs/>
          <w:sz w:val="23"/>
          <w:szCs w:val="23"/>
        </w:rPr>
        <w:t>. </w:t>
      </w:r>
      <w:r w:rsidRPr="00BC22F7">
        <w:rPr>
          <w:rFonts w:ascii="Tahoma" w:hAnsi="Tahoma" w:cs="Tahoma"/>
          <w:bCs/>
          <w:i/>
          <w:sz w:val="23"/>
          <w:szCs w:val="23"/>
        </w:rPr>
        <w:t>Canadian Ethnic Studies, </w:t>
      </w:r>
      <w:proofErr w:type="gramStart"/>
      <w:r w:rsidRPr="00BC22F7" w:rsidDel="001E7470">
        <w:rPr>
          <w:rFonts w:ascii="Tahoma" w:hAnsi="Tahoma" w:cs="Tahoma"/>
          <w:bCs/>
          <w:i/>
          <w:sz w:val="23"/>
          <w:szCs w:val="23"/>
        </w:rPr>
        <w:t>XXXV</w:t>
      </w:r>
      <w:r w:rsidRPr="00BC22F7">
        <w:rPr>
          <w:rFonts w:ascii="Tahoma" w:hAnsi="Tahoma" w:cs="Tahoma"/>
          <w:bCs/>
          <w:i/>
          <w:sz w:val="23"/>
          <w:szCs w:val="23"/>
        </w:rPr>
        <w:t>35</w:t>
      </w:r>
      <w:r w:rsidRPr="00BC22F7">
        <w:rPr>
          <w:rFonts w:ascii="Tahoma" w:hAnsi="Tahoma" w:cs="Tahoma"/>
          <w:bCs/>
          <w:sz w:val="23"/>
          <w:szCs w:val="23"/>
        </w:rPr>
        <w:t>(</w:t>
      </w:r>
      <w:proofErr w:type="gramEnd"/>
      <w:r w:rsidRPr="00BC22F7">
        <w:rPr>
          <w:rFonts w:ascii="Tahoma" w:hAnsi="Tahoma" w:cs="Tahoma"/>
          <w:bCs/>
          <w:sz w:val="23"/>
          <w:szCs w:val="23"/>
        </w:rPr>
        <w:t>2), 61-61. </w:t>
      </w:r>
    </w:p>
    <w:p w:rsidR="009F152F" w:rsidRPr="00BC22F7" w:rsidRDefault="009F152F" w:rsidP="00664234">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Williams, J. &amp; Best, D. (1990).</w:t>
      </w:r>
      <w:proofErr w:type="gramEnd"/>
      <w:r w:rsidRPr="00BC22F7">
        <w:rPr>
          <w:rFonts w:ascii="Tahoma" w:hAnsi="Tahoma" w:cs="Tahoma"/>
          <w:bCs/>
          <w:sz w:val="23"/>
          <w:szCs w:val="23"/>
        </w:rPr>
        <w:t xml:space="preserve"> Sex and the Psyche: Gender Roles and Self Concepts viewed cross culturally.  Beverly Hills: Sage.</w:t>
      </w:r>
    </w:p>
    <w:p w:rsidR="009F152F" w:rsidRPr="00BC22F7" w:rsidRDefault="009F152F" w:rsidP="004B38CB">
      <w:pPr>
        <w:spacing w:after="0" w:line="240" w:lineRule="auto"/>
        <w:ind w:left="567" w:hanging="567"/>
        <w:rPr>
          <w:rFonts w:ascii="Tahoma" w:hAnsi="Tahoma" w:cs="Tahoma"/>
          <w:bCs/>
          <w:sz w:val="23"/>
          <w:szCs w:val="23"/>
        </w:rPr>
      </w:pPr>
      <w:r w:rsidRPr="00BC22F7">
        <w:rPr>
          <w:rFonts w:ascii="Tahoma" w:hAnsi="Tahoma" w:cs="Tahoma"/>
          <w:bCs/>
          <w:sz w:val="23"/>
          <w:szCs w:val="23"/>
        </w:rPr>
        <w:t xml:space="preserve">Wilson, V. S. and Mullins, W. A. (1978), Representative bureaucracy: Linguistic/ethnic aspects in Canadian public policy. </w:t>
      </w:r>
      <w:r w:rsidRPr="00BC22F7">
        <w:rPr>
          <w:rFonts w:ascii="Tahoma" w:hAnsi="Tahoma" w:cs="Tahoma"/>
          <w:bCs/>
          <w:i/>
          <w:sz w:val="23"/>
          <w:szCs w:val="23"/>
        </w:rPr>
        <w:t>Canadian Public Administration, 21</w:t>
      </w:r>
      <w:r w:rsidRPr="00BC22F7">
        <w:rPr>
          <w:rFonts w:ascii="Tahoma" w:hAnsi="Tahoma" w:cs="Tahoma"/>
          <w:bCs/>
          <w:sz w:val="23"/>
          <w:szCs w:val="23"/>
        </w:rPr>
        <w:t>(4), 513–538.</w:t>
      </w:r>
    </w:p>
    <w:p w:rsidR="009F152F" w:rsidRPr="00BC22F7" w:rsidRDefault="009F152F">
      <w:pPr>
        <w:spacing w:after="0" w:line="240" w:lineRule="auto"/>
        <w:ind w:left="567" w:hanging="567"/>
        <w:rPr>
          <w:rFonts w:ascii="Tahoma" w:hAnsi="Tahoma" w:cs="Tahoma"/>
          <w:bCs/>
          <w:sz w:val="23"/>
          <w:szCs w:val="23"/>
        </w:rPr>
      </w:pPr>
      <w:r w:rsidRPr="00BC22F7">
        <w:rPr>
          <w:rFonts w:ascii="Tahoma" w:hAnsi="Tahoma" w:cs="Tahoma"/>
          <w:bCs/>
          <w:sz w:val="23"/>
          <w:szCs w:val="23"/>
        </w:rPr>
        <w:t>Winn, C. (1985). Affirmative action and visible minorities: Eight premises in quest of evidence. </w:t>
      </w:r>
      <w:r w:rsidRPr="00BC22F7">
        <w:rPr>
          <w:rFonts w:ascii="Tahoma" w:hAnsi="Tahoma" w:cs="Tahoma"/>
          <w:bCs/>
          <w:i/>
          <w:sz w:val="23"/>
          <w:szCs w:val="23"/>
        </w:rPr>
        <w:t xml:space="preserve">Canadian Public Policy/Analyse de </w:t>
      </w:r>
      <w:proofErr w:type="spellStart"/>
      <w:r w:rsidRPr="00BC22F7">
        <w:rPr>
          <w:rFonts w:ascii="Tahoma" w:hAnsi="Tahoma" w:cs="Tahoma"/>
          <w:bCs/>
          <w:i/>
          <w:sz w:val="23"/>
          <w:szCs w:val="23"/>
        </w:rPr>
        <w:t>Politiques</w:t>
      </w:r>
      <w:proofErr w:type="spellEnd"/>
      <w:r w:rsidRPr="00BC22F7">
        <w:rPr>
          <w:rFonts w:ascii="Tahoma" w:hAnsi="Tahoma" w:cs="Tahoma"/>
          <w:bCs/>
          <w:i/>
          <w:sz w:val="23"/>
          <w:szCs w:val="23"/>
        </w:rPr>
        <w:t>,</w:t>
      </w:r>
      <w:r w:rsidRPr="00BC22F7">
        <w:rPr>
          <w:rFonts w:ascii="Tahoma" w:hAnsi="Tahoma" w:cs="Tahoma"/>
          <w:bCs/>
          <w:sz w:val="23"/>
          <w:szCs w:val="23"/>
        </w:rPr>
        <w:t xml:space="preserve"> 684-700.</w:t>
      </w:r>
    </w:p>
    <w:p w:rsidR="009F152F" w:rsidRPr="00BC22F7" w:rsidRDefault="009F152F" w:rsidP="008D5135">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t>Wittmer</w:t>
      </w:r>
      <w:proofErr w:type="spellEnd"/>
      <w:r w:rsidRPr="00BC22F7">
        <w:rPr>
          <w:rFonts w:ascii="Tahoma" w:hAnsi="Tahoma" w:cs="Tahoma"/>
          <w:bCs/>
          <w:sz w:val="23"/>
          <w:szCs w:val="23"/>
        </w:rPr>
        <w:t>, D. (1991). Serving the people or serving for pay: Reward preferences among government, hybrid sector, and business managers. </w:t>
      </w:r>
      <w:proofErr w:type="gramStart"/>
      <w:r w:rsidRPr="00BC22F7">
        <w:rPr>
          <w:rFonts w:ascii="Tahoma" w:hAnsi="Tahoma" w:cs="Tahoma"/>
          <w:bCs/>
          <w:i/>
          <w:sz w:val="23"/>
          <w:szCs w:val="23"/>
        </w:rPr>
        <w:t>Public Productivity &amp; Management Review, 14</w:t>
      </w:r>
      <w:r w:rsidRPr="00BC22F7">
        <w:rPr>
          <w:rFonts w:ascii="Tahoma" w:hAnsi="Tahoma" w:cs="Tahoma"/>
          <w:bCs/>
          <w:sz w:val="23"/>
          <w:szCs w:val="23"/>
        </w:rPr>
        <w:t>(4), 369-369.</w:t>
      </w:r>
      <w:proofErr w:type="gramEnd"/>
      <w:r w:rsidRPr="00BC22F7">
        <w:rPr>
          <w:rFonts w:ascii="Tahoma" w:hAnsi="Tahoma" w:cs="Tahoma"/>
          <w:bCs/>
          <w:sz w:val="23"/>
          <w:szCs w:val="23"/>
        </w:rPr>
        <w:t xml:space="preserve"> </w:t>
      </w:r>
    </w:p>
    <w:p w:rsidR="009F152F" w:rsidRPr="00BC22F7" w:rsidRDefault="009F152F">
      <w:pPr>
        <w:spacing w:after="0" w:line="240" w:lineRule="auto"/>
        <w:ind w:left="567" w:hanging="567"/>
        <w:rPr>
          <w:rFonts w:ascii="Tahoma" w:hAnsi="Tahoma" w:cs="Tahoma"/>
          <w:bCs/>
          <w:sz w:val="23"/>
          <w:szCs w:val="23"/>
        </w:rPr>
      </w:pPr>
      <w:proofErr w:type="gramStart"/>
      <w:r w:rsidRPr="00BC22F7">
        <w:rPr>
          <w:rFonts w:ascii="Tahoma" w:hAnsi="Tahoma" w:cs="Tahoma"/>
          <w:bCs/>
          <w:sz w:val="23"/>
          <w:szCs w:val="23"/>
        </w:rPr>
        <w:t xml:space="preserve">Wright, B. E., &amp; </w:t>
      </w:r>
      <w:proofErr w:type="spellStart"/>
      <w:r w:rsidRPr="00BC22F7">
        <w:rPr>
          <w:rFonts w:ascii="Tahoma" w:hAnsi="Tahoma" w:cs="Tahoma"/>
          <w:bCs/>
          <w:sz w:val="23"/>
          <w:szCs w:val="23"/>
        </w:rPr>
        <w:t>Pandey</w:t>
      </w:r>
      <w:proofErr w:type="spellEnd"/>
      <w:r w:rsidRPr="00BC22F7">
        <w:rPr>
          <w:rFonts w:ascii="Tahoma" w:hAnsi="Tahoma" w:cs="Tahoma"/>
          <w:bCs/>
          <w:sz w:val="23"/>
          <w:szCs w:val="23"/>
        </w:rPr>
        <w:t>, S. K. (2008).</w:t>
      </w:r>
      <w:proofErr w:type="gramEnd"/>
      <w:r w:rsidRPr="00BC22F7">
        <w:rPr>
          <w:rFonts w:ascii="Tahoma" w:hAnsi="Tahoma" w:cs="Tahoma"/>
          <w:bCs/>
          <w:sz w:val="23"/>
          <w:szCs w:val="23"/>
        </w:rPr>
        <w:t xml:space="preserve"> Public service motivation and the assumption of person - organization fit: Testing the mediating effect of value congruence. </w:t>
      </w:r>
      <w:r w:rsidRPr="00BC22F7">
        <w:rPr>
          <w:rFonts w:ascii="Tahoma" w:hAnsi="Tahoma" w:cs="Tahoma"/>
          <w:bCs/>
          <w:i/>
          <w:sz w:val="23"/>
          <w:szCs w:val="23"/>
        </w:rPr>
        <w:t>Administration &amp; Society, 40</w:t>
      </w:r>
      <w:r w:rsidRPr="00BC22F7">
        <w:rPr>
          <w:rFonts w:ascii="Tahoma" w:hAnsi="Tahoma" w:cs="Tahoma"/>
          <w:bCs/>
          <w:sz w:val="23"/>
          <w:szCs w:val="23"/>
        </w:rPr>
        <w:t>(5), 502-521. </w:t>
      </w:r>
    </w:p>
    <w:p w:rsidR="009F152F" w:rsidRPr="00BC22F7" w:rsidDel="00404B57" w:rsidRDefault="009F152F">
      <w:pPr>
        <w:spacing w:after="0" w:line="240" w:lineRule="auto"/>
        <w:ind w:left="567" w:hanging="567"/>
        <w:rPr>
          <w:rFonts w:ascii="Tahoma" w:hAnsi="Tahoma" w:cs="Tahoma"/>
          <w:bCs/>
          <w:sz w:val="23"/>
          <w:szCs w:val="23"/>
        </w:rPr>
      </w:pPr>
      <w:proofErr w:type="spellStart"/>
      <w:r w:rsidRPr="00BC22F7">
        <w:rPr>
          <w:rFonts w:ascii="Tahoma" w:hAnsi="Tahoma" w:cs="Tahoma"/>
          <w:bCs/>
          <w:sz w:val="23"/>
          <w:szCs w:val="23"/>
        </w:rPr>
        <w:t>Wrzesniewski</w:t>
      </w:r>
      <w:proofErr w:type="spellEnd"/>
      <w:r w:rsidRPr="00BC22F7">
        <w:rPr>
          <w:rFonts w:ascii="Tahoma" w:hAnsi="Tahoma" w:cs="Tahoma"/>
          <w:bCs/>
          <w:sz w:val="23"/>
          <w:szCs w:val="23"/>
        </w:rPr>
        <w:t>, A. (2002). "It's not just a job": Shifting meanings of work in the wake of 9/11. </w:t>
      </w:r>
      <w:r w:rsidRPr="00BC22F7">
        <w:rPr>
          <w:rFonts w:ascii="Tahoma" w:hAnsi="Tahoma" w:cs="Tahoma"/>
          <w:bCs/>
          <w:i/>
          <w:sz w:val="23"/>
          <w:szCs w:val="23"/>
        </w:rPr>
        <w:t>Journal of Management Inquiry, 11</w:t>
      </w:r>
      <w:r w:rsidRPr="00BC22F7">
        <w:rPr>
          <w:rFonts w:ascii="Tahoma" w:hAnsi="Tahoma" w:cs="Tahoma"/>
          <w:bCs/>
          <w:sz w:val="23"/>
          <w:szCs w:val="23"/>
        </w:rPr>
        <w:t>(3), 230-234.</w:t>
      </w:r>
    </w:p>
    <w:p w:rsidR="00DB2FFF" w:rsidRPr="00BC22F7" w:rsidRDefault="00264EBA">
      <w:pPr>
        <w:spacing w:after="0" w:line="240" w:lineRule="auto"/>
        <w:ind w:left="567" w:hanging="567"/>
        <w:rPr>
          <w:rFonts w:ascii="Tahoma" w:hAnsi="Tahoma" w:cs="Tahoma"/>
          <w:bCs/>
          <w:sz w:val="23"/>
          <w:szCs w:val="23"/>
        </w:rPr>
      </w:pPr>
      <w:r w:rsidRPr="00BC22F7">
        <w:rPr>
          <w:rFonts w:ascii="Tahoma" w:hAnsi="Tahoma" w:cs="Tahoma"/>
          <w:bCs/>
          <w:sz w:val="23"/>
          <w:szCs w:val="23"/>
        </w:rPr>
        <w:br w:type="page"/>
      </w:r>
    </w:p>
    <w:p w:rsidR="007C3F58" w:rsidRPr="00BC22F7" w:rsidRDefault="00C10571" w:rsidP="00633591">
      <w:pPr>
        <w:spacing w:after="0" w:line="240" w:lineRule="auto"/>
        <w:rPr>
          <w:rFonts w:ascii="Tahoma" w:hAnsi="Tahoma" w:cs="Tahoma"/>
          <w:b/>
          <w:sz w:val="23"/>
          <w:szCs w:val="23"/>
        </w:rPr>
      </w:pPr>
      <w:r w:rsidRPr="00BC22F7">
        <w:rPr>
          <w:rFonts w:ascii="Tahoma" w:hAnsi="Tahoma" w:cs="Tahoma"/>
          <w:b/>
          <w:sz w:val="23"/>
          <w:szCs w:val="23"/>
        </w:rPr>
        <w:lastRenderedPageBreak/>
        <w:t xml:space="preserve">Table 2: Chi-square </w:t>
      </w:r>
      <w:r w:rsidR="00F75963" w:rsidRPr="00BC22F7">
        <w:rPr>
          <w:rFonts w:ascii="Tahoma" w:hAnsi="Tahoma" w:cs="Tahoma"/>
          <w:b/>
          <w:sz w:val="23"/>
          <w:szCs w:val="23"/>
        </w:rPr>
        <w:t>C</w:t>
      </w:r>
      <w:r w:rsidRPr="00BC22F7">
        <w:rPr>
          <w:rFonts w:ascii="Tahoma" w:hAnsi="Tahoma" w:cs="Tahoma"/>
          <w:b/>
          <w:sz w:val="23"/>
          <w:szCs w:val="23"/>
        </w:rPr>
        <w:t xml:space="preserve">omparisons: </w:t>
      </w:r>
      <w:r w:rsidR="00F75963" w:rsidRPr="00BC22F7">
        <w:rPr>
          <w:rFonts w:ascii="Tahoma" w:hAnsi="Tahoma" w:cs="Tahoma"/>
          <w:b/>
          <w:sz w:val="23"/>
          <w:szCs w:val="23"/>
        </w:rPr>
        <w:t>Preference for P</w:t>
      </w:r>
      <w:r w:rsidRPr="00BC22F7">
        <w:rPr>
          <w:rFonts w:ascii="Tahoma" w:hAnsi="Tahoma" w:cs="Tahoma"/>
          <w:b/>
          <w:sz w:val="23"/>
          <w:szCs w:val="23"/>
        </w:rPr>
        <w:t xml:space="preserve">ublic vs. </w:t>
      </w:r>
      <w:r w:rsidR="00F75963" w:rsidRPr="00BC22F7">
        <w:rPr>
          <w:rFonts w:ascii="Tahoma" w:hAnsi="Tahoma" w:cs="Tahoma"/>
          <w:b/>
          <w:sz w:val="23"/>
          <w:szCs w:val="23"/>
        </w:rPr>
        <w:t>Private S</w:t>
      </w:r>
      <w:r w:rsidRPr="00BC22F7">
        <w:rPr>
          <w:rFonts w:ascii="Tahoma" w:hAnsi="Tahoma" w:cs="Tahoma"/>
          <w:b/>
          <w:sz w:val="23"/>
          <w:szCs w:val="23"/>
        </w:rPr>
        <w:t xml:space="preserve">ector </w:t>
      </w:r>
    </w:p>
    <w:p w:rsidR="00C10571" w:rsidRPr="00BC22F7" w:rsidRDefault="007C3F58" w:rsidP="00633591">
      <w:pPr>
        <w:spacing w:after="0" w:line="240" w:lineRule="auto"/>
        <w:rPr>
          <w:rFonts w:ascii="Tahoma" w:hAnsi="Tahoma" w:cs="Tahoma"/>
          <w:b/>
          <w:sz w:val="23"/>
          <w:szCs w:val="23"/>
        </w:rPr>
      </w:pPr>
      <w:r w:rsidRPr="00BC22F7">
        <w:rPr>
          <w:rFonts w:ascii="Tahoma" w:hAnsi="Tahoma" w:cs="Tahoma"/>
          <w:b/>
          <w:sz w:val="23"/>
          <w:szCs w:val="23"/>
        </w:rPr>
        <w:t xml:space="preserve">               E</w:t>
      </w:r>
      <w:r w:rsidR="00C10571" w:rsidRPr="00BC22F7">
        <w:rPr>
          <w:rFonts w:ascii="Tahoma" w:hAnsi="Tahoma" w:cs="Tahoma"/>
          <w:b/>
          <w:sz w:val="23"/>
          <w:szCs w:val="23"/>
        </w:rPr>
        <w:t xml:space="preserve">mployment by each </w:t>
      </w:r>
      <w:r w:rsidR="00F75963" w:rsidRPr="00BC22F7">
        <w:rPr>
          <w:rFonts w:ascii="Tahoma" w:hAnsi="Tahoma" w:cs="Tahoma"/>
          <w:b/>
          <w:sz w:val="23"/>
          <w:szCs w:val="23"/>
        </w:rPr>
        <w:t>D</w:t>
      </w:r>
      <w:r w:rsidR="00C10571" w:rsidRPr="00BC22F7">
        <w:rPr>
          <w:rFonts w:ascii="Tahoma" w:hAnsi="Tahoma" w:cs="Tahoma"/>
          <w:b/>
          <w:sz w:val="23"/>
          <w:szCs w:val="23"/>
        </w:rPr>
        <w:t xml:space="preserve">emographic </w:t>
      </w:r>
      <w:r w:rsidR="00F75963" w:rsidRPr="00BC22F7">
        <w:rPr>
          <w:rFonts w:ascii="Tahoma" w:hAnsi="Tahoma" w:cs="Tahoma"/>
          <w:b/>
          <w:sz w:val="23"/>
          <w:szCs w:val="23"/>
        </w:rPr>
        <w:t>G</w:t>
      </w:r>
      <w:r w:rsidR="00C10571" w:rsidRPr="00BC22F7">
        <w:rPr>
          <w:rFonts w:ascii="Tahoma" w:hAnsi="Tahoma" w:cs="Tahoma"/>
          <w:b/>
          <w:sz w:val="23"/>
          <w:szCs w:val="23"/>
        </w:rPr>
        <w:t>roup</w:t>
      </w:r>
    </w:p>
    <w:p w:rsidR="00C10571" w:rsidRPr="00BC22F7" w:rsidRDefault="00C10571" w:rsidP="00C10571">
      <w:pPr>
        <w:spacing w:after="0" w:line="240" w:lineRule="auto"/>
        <w:rPr>
          <w:rFonts w:ascii="Tahoma" w:hAnsi="Tahoma" w:cs="Tahoma"/>
          <w:sz w:val="23"/>
          <w:szCs w:val="23"/>
        </w:rPr>
      </w:pPr>
    </w:p>
    <w:tbl>
      <w:tblPr>
        <w:tblStyle w:val="TableGrid"/>
        <w:tblW w:w="0" w:type="auto"/>
        <w:tblBorders>
          <w:insideH w:val="none" w:sz="0" w:space="0" w:color="auto"/>
          <w:insideV w:val="none" w:sz="0" w:space="0" w:color="auto"/>
        </w:tblBorders>
        <w:tblLook w:val="04A0"/>
      </w:tblPr>
      <w:tblGrid>
        <w:gridCol w:w="2367"/>
        <w:gridCol w:w="2367"/>
        <w:gridCol w:w="2367"/>
        <w:gridCol w:w="2367"/>
      </w:tblGrid>
      <w:tr w:rsidR="00C10571" w:rsidRPr="00BC22F7" w:rsidTr="005305A2">
        <w:tc>
          <w:tcPr>
            <w:tcW w:w="2367" w:type="dxa"/>
          </w:tcPr>
          <w:p w:rsidR="00C10571" w:rsidRPr="00BC22F7" w:rsidRDefault="00C10571" w:rsidP="005305A2">
            <w:pPr>
              <w:rPr>
                <w:rFonts w:ascii="Arial" w:hAnsi="Arial" w:cs="Arial"/>
              </w:rPr>
            </w:pPr>
          </w:p>
        </w:tc>
        <w:tc>
          <w:tcPr>
            <w:tcW w:w="2367" w:type="dxa"/>
          </w:tcPr>
          <w:p w:rsidR="00C10571" w:rsidRPr="00BC22F7" w:rsidRDefault="00C10571" w:rsidP="005305A2">
            <w:pPr>
              <w:jc w:val="center"/>
              <w:rPr>
                <w:rFonts w:ascii="Arial" w:hAnsi="Arial" w:cs="Arial"/>
                <w:i/>
              </w:rPr>
            </w:pPr>
            <w:r w:rsidRPr="00BC22F7">
              <w:rPr>
                <w:rFonts w:ascii="Arial" w:hAnsi="Arial" w:cs="Arial"/>
                <w:i/>
              </w:rPr>
              <w:t xml:space="preserve">Want to work for </w:t>
            </w:r>
          </w:p>
          <w:p w:rsidR="00C10571" w:rsidRPr="00BC22F7" w:rsidRDefault="00C10571" w:rsidP="005305A2">
            <w:pPr>
              <w:jc w:val="center"/>
              <w:rPr>
                <w:rFonts w:ascii="Arial" w:hAnsi="Arial" w:cs="Arial"/>
                <w:i/>
              </w:rPr>
            </w:pPr>
            <w:r w:rsidRPr="00BC22F7">
              <w:rPr>
                <w:rFonts w:ascii="Arial" w:hAnsi="Arial" w:cs="Arial"/>
                <w:i/>
                <w:u w:val="single"/>
              </w:rPr>
              <w:t>the Public Sector</w:t>
            </w:r>
          </w:p>
        </w:tc>
        <w:tc>
          <w:tcPr>
            <w:tcW w:w="2367" w:type="dxa"/>
          </w:tcPr>
          <w:p w:rsidR="00C10571" w:rsidRPr="00BC22F7" w:rsidRDefault="00C10571" w:rsidP="005305A2">
            <w:pPr>
              <w:jc w:val="center"/>
              <w:rPr>
                <w:rFonts w:ascii="Arial" w:hAnsi="Arial" w:cs="Arial"/>
                <w:i/>
              </w:rPr>
            </w:pPr>
            <w:r w:rsidRPr="00BC22F7">
              <w:rPr>
                <w:rFonts w:ascii="Arial" w:hAnsi="Arial" w:cs="Arial"/>
                <w:i/>
              </w:rPr>
              <w:t xml:space="preserve">Want to work for </w:t>
            </w:r>
          </w:p>
          <w:p w:rsidR="00C10571" w:rsidRPr="00BC22F7" w:rsidRDefault="00C10571" w:rsidP="005305A2">
            <w:pPr>
              <w:jc w:val="center"/>
              <w:rPr>
                <w:rFonts w:ascii="Arial" w:hAnsi="Arial" w:cs="Arial"/>
                <w:i/>
              </w:rPr>
            </w:pPr>
            <w:r w:rsidRPr="00BC22F7">
              <w:rPr>
                <w:rFonts w:ascii="Arial" w:hAnsi="Arial" w:cs="Arial"/>
                <w:i/>
                <w:u w:val="single"/>
              </w:rPr>
              <w:t>the Private Sector</w:t>
            </w:r>
          </w:p>
        </w:tc>
        <w:tc>
          <w:tcPr>
            <w:tcW w:w="2367" w:type="dxa"/>
          </w:tcPr>
          <w:p w:rsidR="00C10571" w:rsidRPr="00BC22F7" w:rsidRDefault="00C10571" w:rsidP="005305A2">
            <w:pPr>
              <w:jc w:val="center"/>
              <w:rPr>
                <w:rFonts w:ascii="Arial" w:hAnsi="Arial" w:cs="Arial"/>
                <w:i/>
              </w:rPr>
            </w:pPr>
          </w:p>
          <w:p w:rsidR="00C10571" w:rsidRPr="00BC22F7" w:rsidRDefault="00C10571" w:rsidP="005305A2">
            <w:pPr>
              <w:jc w:val="center"/>
              <w:rPr>
                <w:rFonts w:ascii="Arial" w:hAnsi="Arial" w:cs="Arial"/>
                <w:i/>
                <w:u w:val="single"/>
              </w:rPr>
            </w:pPr>
            <w:r w:rsidRPr="00BC22F7">
              <w:rPr>
                <w:rFonts w:ascii="Arial" w:hAnsi="Arial" w:cs="Arial"/>
                <w:i/>
                <w:u w:val="single"/>
              </w:rPr>
              <w:t>N</w:t>
            </w:r>
          </w:p>
        </w:tc>
      </w:tr>
      <w:tr w:rsidR="00C10571" w:rsidRPr="00BC22F7" w:rsidTr="005305A2">
        <w:tc>
          <w:tcPr>
            <w:tcW w:w="2367" w:type="dxa"/>
          </w:tcPr>
          <w:p w:rsidR="00C10571" w:rsidRPr="00BC22F7" w:rsidRDefault="00C10571" w:rsidP="005305A2">
            <w:pPr>
              <w:rPr>
                <w:rFonts w:ascii="Arial" w:hAnsi="Arial" w:cs="Arial"/>
              </w:rPr>
            </w:pPr>
          </w:p>
          <w:p w:rsidR="00C10571" w:rsidRPr="00BC22F7" w:rsidRDefault="00C10571" w:rsidP="005305A2">
            <w:pPr>
              <w:rPr>
                <w:rFonts w:ascii="Arial" w:hAnsi="Arial" w:cs="Arial"/>
                <w:u w:val="single"/>
              </w:rPr>
            </w:pPr>
            <w:r w:rsidRPr="00BC22F7">
              <w:rPr>
                <w:rFonts w:ascii="Arial" w:hAnsi="Arial" w:cs="Arial"/>
                <w:u w:val="single"/>
              </w:rPr>
              <w:t>Gender</w:t>
            </w:r>
          </w:p>
        </w:tc>
        <w:tc>
          <w:tcPr>
            <w:tcW w:w="2367" w:type="dxa"/>
          </w:tcPr>
          <w:p w:rsidR="00C10571" w:rsidRPr="00BC22F7" w:rsidRDefault="00C10571" w:rsidP="005305A2">
            <w:pPr>
              <w:rPr>
                <w:rFonts w:ascii="Arial" w:hAnsi="Arial" w:cs="Arial"/>
              </w:rPr>
            </w:pPr>
          </w:p>
        </w:tc>
        <w:tc>
          <w:tcPr>
            <w:tcW w:w="2367" w:type="dxa"/>
          </w:tcPr>
          <w:p w:rsidR="00C10571" w:rsidRPr="00BC22F7" w:rsidRDefault="00C10571" w:rsidP="005305A2">
            <w:pP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Male</w:t>
            </w:r>
          </w:p>
        </w:tc>
        <w:tc>
          <w:tcPr>
            <w:tcW w:w="2367" w:type="dxa"/>
          </w:tcPr>
          <w:p w:rsidR="00C10571" w:rsidRPr="00BC22F7" w:rsidRDefault="00C10571" w:rsidP="005305A2">
            <w:pPr>
              <w:jc w:val="center"/>
              <w:rPr>
                <w:rFonts w:ascii="Arial" w:hAnsi="Arial" w:cs="Arial"/>
              </w:rPr>
            </w:pPr>
            <w:r w:rsidRPr="00BC22F7">
              <w:rPr>
                <w:rFonts w:ascii="Arial" w:hAnsi="Arial" w:cs="Arial"/>
              </w:rPr>
              <w:t>25.3%</w:t>
            </w:r>
          </w:p>
        </w:tc>
        <w:tc>
          <w:tcPr>
            <w:tcW w:w="2367" w:type="dxa"/>
          </w:tcPr>
          <w:p w:rsidR="00C10571" w:rsidRPr="00BC22F7" w:rsidRDefault="00C10571" w:rsidP="005305A2">
            <w:pPr>
              <w:jc w:val="center"/>
              <w:rPr>
                <w:rFonts w:ascii="Arial" w:hAnsi="Arial" w:cs="Arial"/>
              </w:rPr>
            </w:pPr>
            <w:r w:rsidRPr="00BC22F7">
              <w:rPr>
                <w:rFonts w:ascii="Arial" w:hAnsi="Arial" w:cs="Arial"/>
              </w:rPr>
              <w:t>74.7%</w:t>
            </w:r>
          </w:p>
        </w:tc>
        <w:tc>
          <w:tcPr>
            <w:tcW w:w="2367" w:type="dxa"/>
          </w:tcPr>
          <w:p w:rsidR="00C10571" w:rsidRPr="00BC22F7" w:rsidRDefault="00C10571" w:rsidP="005305A2">
            <w:pPr>
              <w:jc w:val="center"/>
              <w:rPr>
                <w:rFonts w:ascii="Arial" w:hAnsi="Arial" w:cs="Arial"/>
              </w:rPr>
            </w:pPr>
            <w:r w:rsidRPr="00BC22F7">
              <w:rPr>
                <w:rFonts w:ascii="Arial" w:hAnsi="Arial" w:cs="Arial"/>
              </w:rPr>
              <w:t>5210</w:t>
            </w: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Female</w:t>
            </w:r>
          </w:p>
        </w:tc>
        <w:tc>
          <w:tcPr>
            <w:tcW w:w="2367" w:type="dxa"/>
          </w:tcPr>
          <w:p w:rsidR="00C10571" w:rsidRPr="00BC22F7" w:rsidRDefault="00C10571" w:rsidP="005305A2">
            <w:pPr>
              <w:jc w:val="center"/>
              <w:rPr>
                <w:rFonts w:ascii="Arial" w:hAnsi="Arial" w:cs="Arial"/>
              </w:rPr>
            </w:pPr>
            <w:r w:rsidRPr="00BC22F7">
              <w:rPr>
                <w:rFonts w:ascii="Arial" w:hAnsi="Arial" w:cs="Arial"/>
              </w:rPr>
              <w:t>47.7%</w:t>
            </w:r>
          </w:p>
        </w:tc>
        <w:tc>
          <w:tcPr>
            <w:tcW w:w="2367" w:type="dxa"/>
          </w:tcPr>
          <w:p w:rsidR="00C10571" w:rsidRPr="00BC22F7" w:rsidRDefault="00C10571" w:rsidP="005305A2">
            <w:pPr>
              <w:jc w:val="center"/>
              <w:rPr>
                <w:rFonts w:ascii="Arial" w:hAnsi="Arial" w:cs="Arial"/>
              </w:rPr>
            </w:pPr>
            <w:r w:rsidRPr="00BC22F7">
              <w:rPr>
                <w:rFonts w:ascii="Arial" w:hAnsi="Arial" w:cs="Arial"/>
              </w:rPr>
              <w:t>52.3%</w:t>
            </w:r>
          </w:p>
        </w:tc>
        <w:tc>
          <w:tcPr>
            <w:tcW w:w="2367" w:type="dxa"/>
          </w:tcPr>
          <w:p w:rsidR="00C10571" w:rsidRPr="00BC22F7" w:rsidRDefault="00C10571" w:rsidP="005305A2">
            <w:pPr>
              <w:jc w:val="center"/>
              <w:rPr>
                <w:rFonts w:ascii="Arial" w:hAnsi="Arial" w:cs="Arial"/>
              </w:rPr>
            </w:pPr>
            <w:r w:rsidRPr="00BC22F7">
              <w:rPr>
                <w:rFonts w:ascii="Arial" w:hAnsi="Arial" w:cs="Arial"/>
              </w:rPr>
              <w:t>7663</w:t>
            </w: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w:t>
            </w:r>
            <w:r w:rsidRPr="00BC22F7">
              <w:rPr>
                <w:rFonts w:ascii="Arial" w:hAnsi="Arial" w:cs="Arial"/>
                <w:color w:val="000000"/>
              </w:rPr>
              <w:t>χ²</w:t>
            </w:r>
          </w:p>
        </w:tc>
        <w:tc>
          <w:tcPr>
            <w:tcW w:w="2367" w:type="dxa"/>
          </w:tcPr>
          <w:p w:rsidR="00C10571" w:rsidRPr="00BC22F7" w:rsidRDefault="00C10571" w:rsidP="005305A2">
            <w:pPr>
              <w:jc w:val="center"/>
              <w:rPr>
                <w:rFonts w:ascii="Arial" w:hAnsi="Arial" w:cs="Arial"/>
              </w:rPr>
            </w:pPr>
            <w:r w:rsidRPr="00BC22F7">
              <w:rPr>
                <w:rFonts w:ascii="Arial" w:hAnsi="Arial" w:cs="Arial"/>
              </w:rPr>
              <w:t>658.71***</w:t>
            </w: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rPr>
                <w:rFonts w:ascii="Arial" w:hAnsi="Arial" w:cs="Arial"/>
              </w:rPr>
            </w:pPr>
          </w:p>
          <w:p w:rsidR="00C10571" w:rsidRPr="00BC22F7" w:rsidRDefault="00C10571" w:rsidP="005305A2">
            <w:pPr>
              <w:rPr>
                <w:rFonts w:ascii="Arial" w:hAnsi="Arial" w:cs="Arial"/>
                <w:u w:val="single"/>
              </w:rPr>
            </w:pPr>
            <w:r w:rsidRPr="00BC22F7">
              <w:rPr>
                <w:rFonts w:ascii="Arial" w:hAnsi="Arial" w:cs="Arial"/>
                <w:u w:val="single"/>
              </w:rPr>
              <w:t>Visible Minority (VM)</w:t>
            </w: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VM</w:t>
            </w:r>
          </w:p>
        </w:tc>
        <w:tc>
          <w:tcPr>
            <w:tcW w:w="2367" w:type="dxa"/>
          </w:tcPr>
          <w:p w:rsidR="00C10571" w:rsidRPr="00BC22F7" w:rsidRDefault="00C10571" w:rsidP="005305A2">
            <w:pPr>
              <w:jc w:val="center"/>
              <w:rPr>
                <w:rFonts w:ascii="Arial" w:hAnsi="Arial" w:cs="Arial"/>
              </w:rPr>
            </w:pPr>
            <w:r w:rsidRPr="00BC22F7">
              <w:rPr>
                <w:rFonts w:ascii="Arial" w:hAnsi="Arial" w:cs="Arial"/>
              </w:rPr>
              <w:t>36.4%</w:t>
            </w:r>
          </w:p>
        </w:tc>
        <w:tc>
          <w:tcPr>
            <w:tcW w:w="2367" w:type="dxa"/>
          </w:tcPr>
          <w:p w:rsidR="00C10571" w:rsidRPr="00BC22F7" w:rsidRDefault="00C10571" w:rsidP="005305A2">
            <w:pPr>
              <w:jc w:val="center"/>
              <w:rPr>
                <w:rFonts w:ascii="Arial" w:hAnsi="Arial" w:cs="Arial"/>
              </w:rPr>
            </w:pPr>
            <w:r w:rsidRPr="00BC22F7">
              <w:rPr>
                <w:rFonts w:ascii="Arial" w:hAnsi="Arial" w:cs="Arial"/>
              </w:rPr>
              <w:t>63.6%</w:t>
            </w:r>
          </w:p>
        </w:tc>
        <w:tc>
          <w:tcPr>
            <w:tcW w:w="2367" w:type="dxa"/>
          </w:tcPr>
          <w:p w:rsidR="00C10571" w:rsidRPr="00BC22F7" w:rsidRDefault="00C10571" w:rsidP="005305A2">
            <w:pPr>
              <w:jc w:val="center"/>
              <w:rPr>
                <w:rFonts w:ascii="Arial" w:hAnsi="Arial" w:cs="Arial"/>
              </w:rPr>
            </w:pPr>
            <w:r w:rsidRPr="00BC22F7">
              <w:rPr>
                <w:rFonts w:ascii="Arial" w:hAnsi="Arial" w:cs="Arial"/>
              </w:rPr>
              <w:t>2471</w:t>
            </w: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Non-VM</w:t>
            </w:r>
          </w:p>
        </w:tc>
        <w:tc>
          <w:tcPr>
            <w:tcW w:w="2367" w:type="dxa"/>
          </w:tcPr>
          <w:p w:rsidR="00C10571" w:rsidRPr="00BC22F7" w:rsidRDefault="00C10571" w:rsidP="005305A2">
            <w:pPr>
              <w:jc w:val="center"/>
              <w:rPr>
                <w:rFonts w:ascii="Arial" w:hAnsi="Arial" w:cs="Arial"/>
              </w:rPr>
            </w:pPr>
            <w:r w:rsidRPr="00BC22F7">
              <w:rPr>
                <w:rFonts w:ascii="Arial" w:hAnsi="Arial" w:cs="Arial"/>
              </w:rPr>
              <w:t>39.1%</w:t>
            </w:r>
          </w:p>
        </w:tc>
        <w:tc>
          <w:tcPr>
            <w:tcW w:w="2367" w:type="dxa"/>
          </w:tcPr>
          <w:p w:rsidR="00C10571" w:rsidRPr="00BC22F7" w:rsidRDefault="00C10571" w:rsidP="005305A2">
            <w:pPr>
              <w:jc w:val="center"/>
              <w:rPr>
                <w:rFonts w:ascii="Arial" w:hAnsi="Arial" w:cs="Arial"/>
              </w:rPr>
            </w:pPr>
            <w:r w:rsidRPr="00BC22F7">
              <w:rPr>
                <w:rFonts w:ascii="Arial" w:hAnsi="Arial" w:cs="Arial"/>
              </w:rPr>
              <w:t>60.9%</w:t>
            </w:r>
          </w:p>
        </w:tc>
        <w:tc>
          <w:tcPr>
            <w:tcW w:w="2367" w:type="dxa"/>
          </w:tcPr>
          <w:p w:rsidR="00C10571" w:rsidRPr="00BC22F7" w:rsidRDefault="00C10571" w:rsidP="005305A2">
            <w:pPr>
              <w:jc w:val="center"/>
              <w:rPr>
                <w:rFonts w:ascii="Arial" w:hAnsi="Arial" w:cs="Arial"/>
              </w:rPr>
            </w:pPr>
            <w:r w:rsidRPr="00BC22F7">
              <w:rPr>
                <w:rFonts w:ascii="Arial" w:hAnsi="Arial" w:cs="Arial"/>
              </w:rPr>
              <w:t>10402</w:t>
            </w: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i/>
                <w:iCs/>
              </w:rPr>
              <w:t xml:space="preserve">    </w:t>
            </w:r>
            <w:r w:rsidRPr="00BC22F7">
              <w:rPr>
                <w:rFonts w:ascii="Arial" w:hAnsi="Arial" w:cs="Arial"/>
                <w:color w:val="000000"/>
              </w:rPr>
              <w:t>χ²</w:t>
            </w:r>
          </w:p>
        </w:tc>
        <w:tc>
          <w:tcPr>
            <w:tcW w:w="2367" w:type="dxa"/>
          </w:tcPr>
          <w:p w:rsidR="00C10571" w:rsidRPr="00BC22F7" w:rsidRDefault="00C10571" w:rsidP="005305A2">
            <w:pPr>
              <w:jc w:val="center"/>
              <w:rPr>
                <w:rFonts w:ascii="Arial" w:hAnsi="Arial" w:cs="Arial"/>
              </w:rPr>
            </w:pPr>
            <w:r w:rsidRPr="00BC22F7">
              <w:rPr>
                <w:rFonts w:ascii="Arial" w:hAnsi="Arial" w:cs="Arial"/>
              </w:rPr>
              <w:t>6.44*</w:t>
            </w: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rPr>
                <w:rFonts w:ascii="Arial" w:hAnsi="Arial" w:cs="Arial"/>
              </w:rPr>
            </w:pPr>
          </w:p>
          <w:p w:rsidR="00C10571" w:rsidRPr="00BC22F7" w:rsidRDefault="00C10571" w:rsidP="005305A2">
            <w:pPr>
              <w:rPr>
                <w:rFonts w:ascii="Arial" w:hAnsi="Arial" w:cs="Arial"/>
                <w:u w:val="single"/>
              </w:rPr>
            </w:pPr>
            <w:r w:rsidRPr="00BC22F7">
              <w:rPr>
                <w:rFonts w:ascii="Arial" w:hAnsi="Arial" w:cs="Arial"/>
                <w:u w:val="single"/>
              </w:rPr>
              <w:t xml:space="preserve">Aboriginal Peoples </w:t>
            </w: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353CC7" w:rsidP="005305A2">
            <w:pPr>
              <w:rPr>
                <w:rFonts w:ascii="Arial" w:hAnsi="Arial" w:cs="Arial"/>
              </w:rPr>
            </w:pPr>
            <w:r w:rsidRPr="00BC22F7">
              <w:rPr>
                <w:rFonts w:ascii="Arial" w:hAnsi="Arial" w:cs="Arial"/>
              </w:rPr>
              <w:t xml:space="preserve">  Aboriginal</w:t>
            </w:r>
          </w:p>
        </w:tc>
        <w:tc>
          <w:tcPr>
            <w:tcW w:w="2367" w:type="dxa"/>
          </w:tcPr>
          <w:p w:rsidR="00C10571" w:rsidRPr="00BC22F7" w:rsidRDefault="00C10571" w:rsidP="005305A2">
            <w:pPr>
              <w:jc w:val="center"/>
              <w:rPr>
                <w:rFonts w:ascii="Arial" w:hAnsi="Arial" w:cs="Arial"/>
              </w:rPr>
            </w:pPr>
            <w:r w:rsidRPr="00BC22F7">
              <w:rPr>
                <w:rFonts w:ascii="Arial" w:hAnsi="Arial" w:cs="Arial"/>
              </w:rPr>
              <w:t>50.0%</w:t>
            </w:r>
          </w:p>
        </w:tc>
        <w:tc>
          <w:tcPr>
            <w:tcW w:w="2367" w:type="dxa"/>
          </w:tcPr>
          <w:p w:rsidR="00C10571" w:rsidRPr="00BC22F7" w:rsidRDefault="00C10571" w:rsidP="005305A2">
            <w:pPr>
              <w:jc w:val="center"/>
              <w:rPr>
                <w:rFonts w:ascii="Arial" w:hAnsi="Arial" w:cs="Arial"/>
              </w:rPr>
            </w:pPr>
            <w:r w:rsidRPr="00BC22F7">
              <w:rPr>
                <w:rFonts w:ascii="Arial" w:hAnsi="Arial" w:cs="Arial"/>
              </w:rPr>
              <w:t>50.0%</w:t>
            </w:r>
          </w:p>
        </w:tc>
        <w:tc>
          <w:tcPr>
            <w:tcW w:w="2367" w:type="dxa"/>
          </w:tcPr>
          <w:p w:rsidR="00C10571" w:rsidRPr="00BC22F7" w:rsidRDefault="00C10571" w:rsidP="005305A2">
            <w:pPr>
              <w:jc w:val="center"/>
              <w:rPr>
                <w:rFonts w:ascii="Arial" w:hAnsi="Arial" w:cs="Arial"/>
              </w:rPr>
            </w:pPr>
            <w:r w:rsidRPr="00BC22F7">
              <w:rPr>
                <w:rFonts w:ascii="Arial" w:hAnsi="Arial" w:cs="Arial"/>
              </w:rPr>
              <w:t>158</w:t>
            </w:r>
          </w:p>
        </w:tc>
      </w:tr>
      <w:tr w:rsidR="00C10571" w:rsidRPr="00BC22F7" w:rsidTr="005305A2">
        <w:tc>
          <w:tcPr>
            <w:tcW w:w="2367" w:type="dxa"/>
          </w:tcPr>
          <w:p w:rsidR="00C10571" w:rsidRPr="00BC22F7" w:rsidRDefault="00353CC7" w:rsidP="005305A2">
            <w:pPr>
              <w:rPr>
                <w:rFonts w:ascii="Arial" w:hAnsi="Arial" w:cs="Arial"/>
              </w:rPr>
            </w:pPr>
            <w:r w:rsidRPr="00BC22F7">
              <w:rPr>
                <w:rFonts w:ascii="Arial" w:hAnsi="Arial" w:cs="Arial"/>
              </w:rPr>
              <w:t xml:space="preserve">  Non-Aboriginal</w:t>
            </w:r>
          </w:p>
        </w:tc>
        <w:tc>
          <w:tcPr>
            <w:tcW w:w="2367" w:type="dxa"/>
          </w:tcPr>
          <w:p w:rsidR="00C10571" w:rsidRPr="00BC22F7" w:rsidRDefault="00C10571" w:rsidP="005305A2">
            <w:pPr>
              <w:jc w:val="center"/>
              <w:rPr>
                <w:rFonts w:ascii="Arial" w:hAnsi="Arial" w:cs="Arial"/>
              </w:rPr>
            </w:pPr>
            <w:r w:rsidRPr="00BC22F7">
              <w:rPr>
                <w:rFonts w:ascii="Arial" w:hAnsi="Arial" w:cs="Arial"/>
              </w:rPr>
              <w:t>38.5%</w:t>
            </w:r>
          </w:p>
        </w:tc>
        <w:tc>
          <w:tcPr>
            <w:tcW w:w="2367" w:type="dxa"/>
          </w:tcPr>
          <w:p w:rsidR="00C10571" w:rsidRPr="00BC22F7" w:rsidRDefault="00C10571" w:rsidP="005305A2">
            <w:pPr>
              <w:jc w:val="center"/>
              <w:rPr>
                <w:rFonts w:ascii="Arial" w:hAnsi="Arial" w:cs="Arial"/>
              </w:rPr>
            </w:pPr>
            <w:r w:rsidRPr="00BC22F7">
              <w:rPr>
                <w:rFonts w:ascii="Arial" w:hAnsi="Arial" w:cs="Arial"/>
              </w:rPr>
              <w:t>61.5%</w:t>
            </w:r>
          </w:p>
        </w:tc>
        <w:tc>
          <w:tcPr>
            <w:tcW w:w="2367" w:type="dxa"/>
          </w:tcPr>
          <w:p w:rsidR="00C10571" w:rsidRPr="00BC22F7" w:rsidRDefault="00C10571" w:rsidP="005305A2">
            <w:pPr>
              <w:jc w:val="center"/>
              <w:rPr>
                <w:rFonts w:ascii="Arial" w:hAnsi="Arial" w:cs="Arial"/>
              </w:rPr>
            </w:pPr>
            <w:r w:rsidRPr="00BC22F7">
              <w:rPr>
                <w:rFonts w:ascii="Arial" w:hAnsi="Arial" w:cs="Arial"/>
              </w:rPr>
              <w:t>12715</w:t>
            </w: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w:t>
            </w:r>
            <w:r w:rsidRPr="00BC22F7">
              <w:rPr>
                <w:rFonts w:ascii="Arial" w:hAnsi="Arial" w:cs="Arial"/>
                <w:color w:val="000000"/>
              </w:rPr>
              <w:t>χ²</w:t>
            </w:r>
          </w:p>
        </w:tc>
        <w:tc>
          <w:tcPr>
            <w:tcW w:w="2367" w:type="dxa"/>
          </w:tcPr>
          <w:p w:rsidR="00C10571" w:rsidRPr="00BC22F7" w:rsidRDefault="00C10571" w:rsidP="005305A2">
            <w:pPr>
              <w:jc w:val="center"/>
              <w:rPr>
                <w:rFonts w:ascii="Arial" w:hAnsi="Arial" w:cs="Arial"/>
              </w:rPr>
            </w:pPr>
            <w:r w:rsidRPr="00BC22F7">
              <w:rPr>
                <w:rFonts w:ascii="Arial" w:hAnsi="Arial" w:cs="Arial"/>
              </w:rPr>
              <w:t>8.75**</w:t>
            </w: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rPr>
                <w:rFonts w:ascii="Arial" w:hAnsi="Arial" w:cs="Arial"/>
              </w:rPr>
            </w:pP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u w:val="single"/>
              </w:rPr>
              <w:t>Persons with Disabilities (PWD)</w:t>
            </w: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PWD</w:t>
            </w:r>
          </w:p>
        </w:tc>
        <w:tc>
          <w:tcPr>
            <w:tcW w:w="2367" w:type="dxa"/>
          </w:tcPr>
          <w:p w:rsidR="00C10571" w:rsidRPr="00BC22F7" w:rsidRDefault="00C10571" w:rsidP="005305A2">
            <w:pPr>
              <w:jc w:val="center"/>
              <w:rPr>
                <w:rFonts w:ascii="Arial" w:hAnsi="Arial" w:cs="Arial"/>
              </w:rPr>
            </w:pPr>
            <w:r w:rsidRPr="00BC22F7">
              <w:rPr>
                <w:rFonts w:ascii="Arial" w:hAnsi="Arial" w:cs="Arial"/>
              </w:rPr>
              <w:t>50.0%</w:t>
            </w:r>
          </w:p>
        </w:tc>
        <w:tc>
          <w:tcPr>
            <w:tcW w:w="2367" w:type="dxa"/>
          </w:tcPr>
          <w:p w:rsidR="00C10571" w:rsidRPr="00BC22F7" w:rsidRDefault="00C10571" w:rsidP="005305A2">
            <w:pPr>
              <w:jc w:val="center"/>
              <w:rPr>
                <w:rFonts w:ascii="Arial" w:hAnsi="Arial" w:cs="Arial"/>
              </w:rPr>
            </w:pPr>
            <w:r w:rsidRPr="00BC22F7">
              <w:rPr>
                <w:rFonts w:ascii="Arial" w:hAnsi="Arial" w:cs="Arial"/>
              </w:rPr>
              <w:t>50.0%</w:t>
            </w:r>
          </w:p>
        </w:tc>
        <w:tc>
          <w:tcPr>
            <w:tcW w:w="2367" w:type="dxa"/>
          </w:tcPr>
          <w:p w:rsidR="00C10571" w:rsidRPr="00BC22F7" w:rsidRDefault="00C10571" w:rsidP="005305A2">
            <w:pPr>
              <w:jc w:val="center"/>
              <w:rPr>
                <w:rFonts w:ascii="Arial" w:hAnsi="Arial" w:cs="Arial"/>
              </w:rPr>
            </w:pPr>
            <w:r w:rsidRPr="00BC22F7">
              <w:rPr>
                <w:rFonts w:ascii="Arial" w:hAnsi="Arial" w:cs="Arial"/>
              </w:rPr>
              <w:t>268</w:t>
            </w: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Non-PWD</w:t>
            </w:r>
          </w:p>
        </w:tc>
        <w:tc>
          <w:tcPr>
            <w:tcW w:w="2367" w:type="dxa"/>
          </w:tcPr>
          <w:p w:rsidR="00C10571" w:rsidRPr="00BC22F7" w:rsidRDefault="00C10571" w:rsidP="005305A2">
            <w:pPr>
              <w:jc w:val="center"/>
              <w:rPr>
                <w:rFonts w:ascii="Arial" w:hAnsi="Arial" w:cs="Arial"/>
              </w:rPr>
            </w:pPr>
            <w:r w:rsidRPr="00BC22F7">
              <w:rPr>
                <w:rFonts w:ascii="Arial" w:hAnsi="Arial" w:cs="Arial"/>
              </w:rPr>
              <w:t>38.4%</w:t>
            </w:r>
          </w:p>
        </w:tc>
        <w:tc>
          <w:tcPr>
            <w:tcW w:w="2367" w:type="dxa"/>
          </w:tcPr>
          <w:p w:rsidR="00C10571" w:rsidRPr="00BC22F7" w:rsidRDefault="00C10571" w:rsidP="005305A2">
            <w:pPr>
              <w:jc w:val="center"/>
              <w:rPr>
                <w:rFonts w:ascii="Arial" w:hAnsi="Arial" w:cs="Arial"/>
              </w:rPr>
            </w:pPr>
            <w:r w:rsidRPr="00BC22F7">
              <w:rPr>
                <w:rFonts w:ascii="Arial" w:hAnsi="Arial" w:cs="Arial"/>
              </w:rPr>
              <w:t>61.6%</w:t>
            </w:r>
          </w:p>
        </w:tc>
        <w:tc>
          <w:tcPr>
            <w:tcW w:w="2367" w:type="dxa"/>
          </w:tcPr>
          <w:p w:rsidR="00C10571" w:rsidRPr="00BC22F7" w:rsidRDefault="00C10571" w:rsidP="005305A2">
            <w:pPr>
              <w:jc w:val="center"/>
              <w:rPr>
                <w:rFonts w:ascii="Arial" w:hAnsi="Arial" w:cs="Arial"/>
              </w:rPr>
            </w:pPr>
            <w:r w:rsidRPr="00BC22F7">
              <w:rPr>
                <w:rFonts w:ascii="Arial" w:hAnsi="Arial" w:cs="Arial"/>
              </w:rPr>
              <w:t>12605</w:t>
            </w: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w:t>
            </w:r>
            <w:r w:rsidRPr="00BC22F7">
              <w:rPr>
                <w:rFonts w:ascii="Arial" w:hAnsi="Arial" w:cs="Arial"/>
                <w:color w:val="000000"/>
              </w:rPr>
              <w:t>χ²</w:t>
            </w:r>
          </w:p>
        </w:tc>
        <w:tc>
          <w:tcPr>
            <w:tcW w:w="2367" w:type="dxa"/>
          </w:tcPr>
          <w:p w:rsidR="00C10571" w:rsidRPr="00BC22F7" w:rsidRDefault="00C10571" w:rsidP="005305A2">
            <w:pPr>
              <w:jc w:val="center"/>
              <w:rPr>
                <w:rFonts w:ascii="Arial" w:hAnsi="Arial" w:cs="Arial"/>
              </w:rPr>
            </w:pPr>
            <w:r w:rsidRPr="00BC22F7">
              <w:rPr>
                <w:rFonts w:ascii="Arial" w:hAnsi="Arial" w:cs="Arial"/>
              </w:rPr>
              <w:t>14.97***</w:t>
            </w: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rPr>
                <w:rFonts w:ascii="Arial" w:hAnsi="Arial" w:cs="Arial"/>
              </w:rPr>
            </w:pP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rPr>
                <w:rFonts w:ascii="Arial" w:hAnsi="Arial" w:cs="Arial"/>
                <w:u w:val="single"/>
              </w:rPr>
            </w:pPr>
            <w:r w:rsidRPr="00BC22F7">
              <w:rPr>
                <w:rFonts w:ascii="Arial" w:hAnsi="Arial" w:cs="Arial"/>
                <w:u w:val="single"/>
              </w:rPr>
              <w:t>LGBT</w:t>
            </w: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LGBT</w:t>
            </w:r>
          </w:p>
        </w:tc>
        <w:tc>
          <w:tcPr>
            <w:tcW w:w="2367" w:type="dxa"/>
          </w:tcPr>
          <w:p w:rsidR="00C10571" w:rsidRPr="00BC22F7" w:rsidRDefault="00C10571" w:rsidP="005305A2">
            <w:pPr>
              <w:jc w:val="center"/>
              <w:rPr>
                <w:rFonts w:ascii="Arial" w:hAnsi="Arial" w:cs="Arial"/>
              </w:rPr>
            </w:pPr>
            <w:r w:rsidRPr="00BC22F7">
              <w:rPr>
                <w:rFonts w:ascii="Arial" w:hAnsi="Arial" w:cs="Arial"/>
              </w:rPr>
              <w:t>46.4%</w:t>
            </w:r>
          </w:p>
        </w:tc>
        <w:tc>
          <w:tcPr>
            <w:tcW w:w="2367" w:type="dxa"/>
          </w:tcPr>
          <w:p w:rsidR="00C10571" w:rsidRPr="00BC22F7" w:rsidRDefault="00C10571" w:rsidP="005305A2">
            <w:pPr>
              <w:jc w:val="center"/>
              <w:rPr>
                <w:rFonts w:ascii="Arial" w:hAnsi="Arial" w:cs="Arial"/>
              </w:rPr>
            </w:pPr>
            <w:r w:rsidRPr="00BC22F7">
              <w:rPr>
                <w:rFonts w:ascii="Arial" w:hAnsi="Arial" w:cs="Arial"/>
              </w:rPr>
              <w:t>53.6%</w:t>
            </w:r>
          </w:p>
        </w:tc>
        <w:tc>
          <w:tcPr>
            <w:tcW w:w="2367" w:type="dxa"/>
          </w:tcPr>
          <w:p w:rsidR="00C10571" w:rsidRPr="00BC22F7" w:rsidRDefault="00C10571" w:rsidP="005305A2">
            <w:pPr>
              <w:jc w:val="center"/>
              <w:rPr>
                <w:rFonts w:ascii="Arial" w:hAnsi="Arial" w:cs="Arial"/>
              </w:rPr>
            </w:pPr>
            <w:r w:rsidRPr="00BC22F7">
              <w:rPr>
                <w:rFonts w:ascii="Arial" w:hAnsi="Arial" w:cs="Arial"/>
              </w:rPr>
              <w:t>399</w:t>
            </w: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Non-LGBT</w:t>
            </w:r>
          </w:p>
        </w:tc>
        <w:tc>
          <w:tcPr>
            <w:tcW w:w="2367" w:type="dxa"/>
          </w:tcPr>
          <w:p w:rsidR="00C10571" w:rsidRPr="00BC22F7" w:rsidRDefault="00C10571" w:rsidP="005305A2">
            <w:pPr>
              <w:jc w:val="center"/>
              <w:rPr>
                <w:rFonts w:ascii="Arial" w:hAnsi="Arial" w:cs="Arial"/>
              </w:rPr>
            </w:pPr>
            <w:r w:rsidRPr="00BC22F7">
              <w:rPr>
                <w:rFonts w:ascii="Arial" w:hAnsi="Arial" w:cs="Arial"/>
              </w:rPr>
              <w:t>38.4%</w:t>
            </w:r>
          </w:p>
        </w:tc>
        <w:tc>
          <w:tcPr>
            <w:tcW w:w="2367" w:type="dxa"/>
          </w:tcPr>
          <w:p w:rsidR="00C10571" w:rsidRPr="00BC22F7" w:rsidRDefault="00C10571" w:rsidP="005305A2">
            <w:pPr>
              <w:jc w:val="center"/>
              <w:rPr>
                <w:rFonts w:ascii="Arial" w:hAnsi="Arial" w:cs="Arial"/>
              </w:rPr>
            </w:pPr>
            <w:r w:rsidRPr="00BC22F7">
              <w:rPr>
                <w:rFonts w:ascii="Arial" w:hAnsi="Arial" w:cs="Arial"/>
              </w:rPr>
              <w:t>61.6%</w:t>
            </w:r>
          </w:p>
        </w:tc>
        <w:tc>
          <w:tcPr>
            <w:tcW w:w="2367" w:type="dxa"/>
          </w:tcPr>
          <w:p w:rsidR="00C10571" w:rsidRPr="00BC22F7" w:rsidRDefault="00C10571" w:rsidP="005305A2">
            <w:pPr>
              <w:jc w:val="center"/>
              <w:rPr>
                <w:rFonts w:ascii="Arial" w:hAnsi="Arial" w:cs="Arial"/>
              </w:rPr>
            </w:pPr>
            <w:r w:rsidRPr="00BC22F7">
              <w:rPr>
                <w:rFonts w:ascii="Arial" w:hAnsi="Arial" w:cs="Arial"/>
              </w:rPr>
              <w:t>12474</w:t>
            </w:r>
          </w:p>
        </w:tc>
      </w:tr>
      <w:tr w:rsidR="00C10571" w:rsidRPr="00BC22F7" w:rsidTr="005305A2">
        <w:tc>
          <w:tcPr>
            <w:tcW w:w="2367" w:type="dxa"/>
          </w:tcPr>
          <w:p w:rsidR="00C10571" w:rsidRPr="00BC22F7" w:rsidRDefault="00C10571" w:rsidP="005305A2">
            <w:pPr>
              <w:rPr>
                <w:rFonts w:ascii="Arial" w:hAnsi="Arial" w:cs="Arial"/>
              </w:rPr>
            </w:pPr>
            <w:r w:rsidRPr="00BC22F7">
              <w:rPr>
                <w:rFonts w:ascii="Arial" w:hAnsi="Arial" w:cs="Arial"/>
              </w:rPr>
              <w:t xml:space="preserve">    </w:t>
            </w:r>
            <w:r w:rsidRPr="00BC22F7">
              <w:rPr>
                <w:rFonts w:ascii="Arial" w:hAnsi="Arial" w:cs="Arial"/>
                <w:color w:val="000000"/>
              </w:rPr>
              <w:t>χ²</w:t>
            </w:r>
          </w:p>
        </w:tc>
        <w:tc>
          <w:tcPr>
            <w:tcW w:w="2367" w:type="dxa"/>
          </w:tcPr>
          <w:p w:rsidR="00C10571" w:rsidRPr="00BC22F7" w:rsidRDefault="00C10571" w:rsidP="005305A2">
            <w:pPr>
              <w:jc w:val="center"/>
              <w:rPr>
                <w:rFonts w:ascii="Arial" w:hAnsi="Arial" w:cs="Arial"/>
              </w:rPr>
            </w:pPr>
            <w:r w:rsidRPr="00BC22F7">
              <w:rPr>
                <w:rFonts w:ascii="Arial" w:hAnsi="Arial" w:cs="Arial"/>
              </w:rPr>
              <w:t>10.43**</w:t>
            </w: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c>
          <w:tcPr>
            <w:tcW w:w="2367" w:type="dxa"/>
          </w:tcPr>
          <w:p w:rsidR="00C10571" w:rsidRPr="00BC22F7" w:rsidRDefault="00C10571" w:rsidP="005305A2">
            <w:pPr>
              <w:jc w:val="center"/>
              <w:rPr>
                <w:rFonts w:ascii="Arial" w:hAnsi="Arial" w:cs="Arial"/>
              </w:rPr>
            </w:pPr>
          </w:p>
        </w:tc>
      </w:tr>
      <w:tr w:rsidR="00C10571" w:rsidRPr="00BC22F7" w:rsidTr="005305A2">
        <w:tc>
          <w:tcPr>
            <w:tcW w:w="2367" w:type="dxa"/>
          </w:tcPr>
          <w:p w:rsidR="00C10571" w:rsidRPr="00BC22F7" w:rsidRDefault="00C10571" w:rsidP="005305A2">
            <w:pPr>
              <w:rPr>
                <w:rFonts w:ascii="Arial" w:hAnsi="Arial" w:cs="Arial"/>
                <w:u w:val="single"/>
              </w:rPr>
            </w:pPr>
            <w:r w:rsidRPr="00BC22F7">
              <w:rPr>
                <w:rFonts w:ascii="Arial" w:hAnsi="Arial" w:cs="Arial"/>
                <w:u w:val="single"/>
              </w:rPr>
              <w:t>TOTAL</w:t>
            </w:r>
          </w:p>
        </w:tc>
        <w:tc>
          <w:tcPr>
            <w:tcW w:w="2367" w:type="dxa"/>
          </w:tcPr>
          <w:p w:rsidR="00C10571" w:rsidRPr="00BC22F7" w:rsidRDefault="00C10571" w:rsidP="005305A2">
            <w:pPr>
              <w:jc w:val="center"/>
              <w:rPr>
                <w:rFonts w:ascii="Arial" w:hAnsi="Arial" w:cs="Arial"/>
              </w:rPr>
            </w:pPr>
            <w:r w:rsidRPr="00BC22F7">
              <w:rPr>
                <w:rFonts w:ascii="Arial" w:hAnsi="Arial" w:cs="Arial"/>
              </w:rPr>
              <w:t>38.0%</w:t>
            </w:r>
          </w:p>
        </w:tc>
        <w:tc>
          <w:tcPr>
            <w:tcW w:w="2367" w:type="dxa"/>
          </w:tcPr>
          <w:p w:rsidR="00C10571" w:rsidRPr="00BC22F7" w:rsidRDefault="00C10571" w:rsidP="005305A2">
            <w:pPr>
              <w:jc w:val="center"/>
              <w:rPr>
                <w:rFonts w:ascii="Arial" w:hAnsi="Arial" w:cs="Arial"/>
              </w:rPr>
            </w:pPr>
            <w:r w:rsidRPr="00BC22F7">
              <w:rPr>
                <w:rFonts w:ascii="Arial" w:hAnsi="Arial" w:cs="Arial"/>
              </w:rPr>
              <w:t>62.0%</w:t>
            </w:r>
          </w:p>
        </w:tc>
        <w:tc>
          <w:tcPr>
            <w:tcW w:w="2367" w:type="dxa"/>
          </w:tcPr>
          <w:p w:rsidR="00C10571" w:rsidRPr="00BC22F7" w:rsidRDefault="00C10571" w:rsidP="005305A2">
            <w:pPr>
              <w:jc w:val="center"/>
              <w:rPr>
                <w:rFonts w:ascii="Arial" w:hAnsi="Arial" w:cs="Arial"/>
              </w:rPr>
            </w:pPr>
            <w:r w:rsidRPr="00BC22F7">
              <w:rPr>
                <w:rFonts w:ascii="Arial" w:hAnsi="Arial" w:cs="Arial"/>
              </w:rPr>
              <w:t>12873</w:t>
            </w:r>
          </w:p>
        </w:tc>
      </w:tr>
    </w:tbl>
    <w:p w:rsidR="00F75963" w:rsidRPr="00BC22F7" w:rsidRDefault="00F75963" w:rsidP="00C10571">
      <w:pPr>
        <w:spacing w:after="0" w:line="240" w:lineRule="auto"/>
        <w:rPr>
          <w:rFonts w:ascii="Arial" w:hAnsi="Arial" w:cs="Arial"/>
          <w:i/>
          <w:iCs/>
          <w:sz w:val="20"/>
        </w:rPr>
      </w:pPr>
    </w:p>
    <w:p w:rsidR="00C10571" w:rsidRPr="00BC22F7" w:rsidRDefault="00C10571" w:rsidP="00C10571">
      <w:pPr>
        <w:spacing w:after="0" w:line="240" w:lineRule="auto"/>
        <w:rPr>
          <w:rFonts w:ascii="Arial" w:hAnsi="Arial" w:cs="Arial"/>
          <w:i/>
          <w:iCs/>
          <w:sz w:val="20"/>
        </w:rPr>
      </w:pPr>
      <w:r w:rsidRPr="00BC22F7">
        <w:rPr>
          <w:rFonts w:ascii="Arial" w:hAnsi="Arial" w:cs="Arial"/>
          <w:i/>
          <w:iCs/>
          <w:sz w:val="20"/>
        </w:rPr>
        <w:t>***p&lt;.001, **p&lt;.01, *p&lt;.05</w:t>
      </w:r>
    </w:p>
    <w:p w:rsidR="006A5C4E" w:rsidRPr="00BC22F7" w:rsidRDefault="006A5C4E" w:rsidP="008A026D">
      <w:pPr>
        <w:spacing w:after="0" w:line="240" w:lineRule="auto"/>
        <w:ind w:left="284" w:hanging="284"/>
        <w:rPr>
          <w:rFonts w:ascii="Tahoma" w:hAnsi="Tahoma" w:cs="Tahoma"/>
          <w:bCs/>
          <w:sz w:val="23"/>
          <w:szCs w:val="23"/>
        </w:rPr>
      </w:pPr>
    </w:p>
    <w:p w:rsidR="00633591" w:rsidRPr="00BC22F7" w:rsidRDefault="00633591" w:rsidP="00C10571">
      <w:pPr>
        <w:spacing w:after="0" w:line="240" w:lineRule="auto"/>
        <w:rPr>
          <w:rFonts w:ascii="Tahoma" w:hAnsi="Tahoma" w:cs="Tahoma"/>
          <w:b/>
          <w:sz w:val="23"/>
          <w:szCs w:val="23"/>
        </w:rPr>
      </w:pPr>
    </w:p>
    <w:p w:rsidR="00633591" w:rsidRPr="00BC22F7" w:rsidRDefault="00633591" w:rsidP="00C10571">
      <w:pPr>
        <w:spacing w:after="0" w:line="240" w:lineRule="auto"/>
        <w:rPr>
          <w:rFonts w:ascii="Tahoma" w:hAnsi="Tahoma" w:cs="Tahoma"/>
          <w:b/>
          <w:sz w:val="23"/>
          <w:szCs w:val="23"/>
        </w:rPr>
      </w:pPr>
    </w:p>
    <w:p w:rsidR="00633591" w:rsidRPr="00BC22F7" w:rsidRDefault="00633591" w:rsidP="00C10571">
      <w:pPr>
        <w:spacing w:after="0" w:line="240" w:lineRule="auto"/>
        <w:rPr>
          <w:rFonts w:ascii="Tahoma" w:hAnsi="Tahoma" w:cs="Tahoma"/>
          <w:b/>
          <w:sz w:val="23"/>
          <w:szCs w:val="23"/>
        </w:rPr>
      </w:pPr>
    </w:p>
    <w:p w:rsidR="00633591" w:rsidRPr="00BC22F7" w:rsidRDefault="00633591" w:rsidP="00C10571">
      <w:pPr>
        <w:spacing w:after="0" w:line="240" w:lineRule="auto"/>
        <w:rPr>
          <w:rFonts w:ascii="Tahoma" w:hAnsi="Tahoma" w:cs="Tahoma"/>
          <w:b/>
          <w:sz w:val="23"/>
          <w:szCs w:val="23"/>
        </w:rPr>
      </w:pPr>
    </w:p>
    <w:p w:rsidR="00633591" w:rsidRPr="00BC22F7" w:rsidRDefault="00633591" w:rsidP="00C10571">
      <w:pPr>
        <w:spacing w:after="0" w:line="240" w:lineRule="auto"/>
        <w:rPr>
          <w:rFonts w:ascii="Tahoma" w:hAnsi="Tahoma" w:cs="Tahoma"/>
          <w:b/>
          <w:sz w:val="23"/>
          <w:szCs w:val="23"/>
        </w:rPr>
      </w:pPr>
    </w:p>
    <w:p w:rsidR="00633591" w:rsidRPr="00BC22F7" w:rsidRDefault="00633591" w:rsidP="00C10571">
      <w:pPr>
        <w:spacing w:after="0" w:line="240" w:lineRule="auto"/>
        <w:rPr>
          <w:rFonts w:ascii="Tahoma" w:hAnsi="Tahoma" w:cs="Tahoma"/>
          <w:b/>
          <w:sz w:val="23"/>
          <w:szCs w:val="23"/>
        </w:rPr>
      </w:pPr>
    </w:p>
    <w:p w:rsidR="00633591" w:rsidRPr="00BC22F7" w:rsidRDefault="00633591" w:rsidP="00C10571">
      <w:pPr>
        <w:spacing w:after="0" w:line="240" w:lineRule="auto"/>
        <w:rPr>
          <w:rFonts w:ascii="Tahoma" w:hAnsi="Tahoma" w:cs="Tahoma"/>
          <w:b/>
          <w:sz w:val="23"/>
          <w:szCs w:val="23"/>
        </w:rPr>
      </w:pPr>
    </w:p>
    <w:p w:rsidR="00633591" w:rsidRPr="00BC22F7" w:rsidRDefault="00633591" w:rsidP="00C10571">
      <w:pPr>
        <w:spacing w:after="0" w:line="240" w:lineRule="auto"/>
        <w:rPr>
          <w:rFonts w:ascii="Tahoma" w:hAnsi="Tahoma" w:cs="Tahoma"/>
          <w:b/>
          <w:sz w:val="23"/>
          <w:szCs w:val="23"/>
        </w:rPr>
      </w:pPr>
    </w:p>
    <w:p w:rsidR="00633591" w:rsidRPr="00BC22F7" w:rsidRDefault="00633591" w:rsidP="00C10571">
      <w:pPr>
        <w:spacing w:after="0" w:line="240" w:lineRule="auto"/>
        <w:rPr>
          <w:rFonts w:ascii="Tahoma" w:hAnsi="Tahoma" w:cs="Tahoma"/>
          <w:b/>
          <w:sz w:val="23"/>
          <w:szCs w:val="23"/>
        </w:rPr>
      </w:pPr>
    </w:p>
    <w:p w:rsidR="00633591" w:rsidRPr="00BC22F7" w:rsidRDefault="00633591" w:rsidP="00C10571">
      <w:pPr>
        <w:spacing w:after="0" w:line="240" w:lineRule="auto"/>
        <w:rPr>
          <w:rFonts w:ascii="Tahoma" w:hAnsi="Tahoma" w:cs="Tahoma"/>
          <w:b/>
          <w:sz w:val="23"/>
          <w:szCs w:val="23"/>
        </w:rPr>
      </w:pPr>
    </w:p>
    <w:p w:rsidR="00633591" w:rsidRPr="00BC22F7" w:rsidRDefault="00633591" w:rsidP="00C10571">
      <w:pPr>
        <w:spacing w:after="0" w:line="240" w:lineRule="auto"/>
        <w:rPr>
          <w:rFonts w:ascii="Tahoma" w:hAnsi="Tahoma" w:cs="Tahoma"/>
          <w:b/>
          <w:sz w:val="23"/>
          <w:szCs w:val="23"/>
        </w:rPr>
      </w:pPr>
    </w:p>
    <w:p w:rsidR="00633591" w:rsidRPr="00BC22F7" w:rsidRDefault="00633591" w:rsidP="00C10571">
      <w:pPr>
        <w:spacing w:after="0" w:line="240" w:lineRule="auto"/>
        <w:rPr>
          <w:rFonts w:ascii="Tahoma" w:hAnsi="Tahoma" w:cs="Tahoma"/>
          <w:b/>
          <w:sz w:val="23"/>
          <w:szCs w:val="23"/>
        </w:rPr>
      </w:pPr>
    </w:p>
    <w:p w:rsidR="007C3F58" w:rsidRPr="00BC22F7" w:rsidRDefault="007C3F58" w:rsidP="007C3F58">
      <w:pPr>
        <w:spacing w:after="0" w:line="240" w:lineRule="auto"/>
        <w:rPr>
          <w:rFonts w:ascii="Tahoma" w:hAnsi="Tahoma" w:cs="Tahoma"/>
          <w:b/>
          <w:sz w:val="23"/>
          <w:szCs w:val="23"/>
        </w:rPr>
      </w:pPr>
    </w:p>
    <w:p w:rsidR="00FC2782" w:rsidRPr="00BC22F7" w:rsidRDefault="00C10571" w:rsidP="007C3F58">
      <w:pPr>
        <w:spacing w:after="0" w:line="240" w:lineRule="auto"/>
        <w:rPr>
          <w:rFonts w:ascii="Tahoma" w:hAnsi="Tahoma" w:cs="Tahoma"/>
          <w:b/>
          <w:sz w:val="23"/>
          <w:szCs w:val="23"/>
        </w:rPr>
      </w:pPr>
      <w:r w:rsidRPr="00BC22F7">
        <w:rPr>
          <w:rFonts w:ascii="Tahoma" w:hAnsi="Tahoma" w:cs="Tahoma"/>
          <w:b/>
          <w:sz w:val="23"/>
          <w:szCs w:val="23"/>
        </w:rPr>
        <w:lastRenderedPageBreak/>
        <w:t>Table 3: Resu</w:t>
      </w:r>
      <w:r w:rsidR="007C3F58" w:rsidRPr="00BC22F7">
        <w:rPr>
          <w:rFonts w:ascii="Tahoma" w:hAnsi="Tahoma" w:cs="Tahoma"/>
          <w:b/>
          <w:sz w:val="23"/>
          <w:szCs w:val="23"/>
        </w:rPr>
        <w:t xml:space="preserve">lts of </w:t>
      </w:r>
      <w:proofErr w:type="spellStart"/>
      <w:r w:rsidR="007C3F58" w:rsidRPr="00BC22F7">
        <w:rPr>
          <w:rFonts w:ascii="Tahoma" w:hAnsi="Tahoma" w:cs="Tahoma"/>
          <w:b/>
          <w:sz w:val="23"/>
          <w:szCs w:val="23"/>
        </w:rPr>
        <w:t>Discriminant</w:t>
      </w:r>
      <w:proofErr w:type="spellEnd"/>
      <w:r w:rsidR="007C3F58" w:rsidRPr="00BC22F7">
        <w:rPr>
          <w:rFonts w:ascii="Tahoma" w:hAnsi="Tahoma" w:cs="Tahoma"/>
          <w:b/>
          <w:sz w:val="23"/>
          <w:szCs w:val="23"/>
        </w:rPr>
        <w:t xml:space="preserve"> Analysis</w:t>
      </w:r>
      <w:r w:rsidRPr="00BC22F7">
        <w:rPr>
          <w:rFonts w:ascii="Tahoma" w:hAnsi="Tahoma" w:cs="Tahoma"/>
          <w:b/>
          <w:sz w:val="23"/>
          <w:szCs w:val="23"/>
        </w:rPr>
        <w:t xml:space="preserve">: Standardized Function and </w:t>
      </w:r>
      <w:r w:rsidR="00FC2782" w:rsidRPr="00BC22F7">
        <w:rPr>
          <w:rFonts w:ascii="Tahoma" w:hAnsi="Tahoma" w:cs="Tahoma"/>
          <w:b/>
          <w:sz w:val="23"/>
          <w:szCs w:val="23"/>
        </w:rPr>
        <w:t xml:space="preserve">  </w:t>
      </w:r>
    </w:p>
    <w:p w:rsidR="00C10571" w:rsidRPr="00BC22F7" w:rsidRDefault="00FC2782" w:rsidP="007C3F58">
      <w:pPr>
        <w:spacing w:after="0" w:line="240" w:lineRule="auto"/>
        <w:rPr>
          <w:rFonts w:ascii="Tahoma" w:hAnsi="Tahoma" w:cs="Tahoma"/>
          <w:b/>
          <w:sz w:val="23"/>
          <w:szCs w:val="23"/>
        </w:rPr>
      </w:pPr>
      <w:r w:rsidRPr="00BC22F7">
        <w:rPr>
          <w:rFonts w:ascii="Tahoma" w:hAnsi="Tahoma" w:cs="Tahoma"/>
          <w:b/>
          <w:sz w:val="23"/>
          <w:szCs w:val="23"/>
        </w:rPr>
        <w:t xml:space="preserve">               Correlation </w:t>
      </w:r>
      <w:r w:rsidR="00C10571" w:rsidRPr="00BC22F7">
        <w:rPr>
          <w:rFonts w:ascii="Tahoma" w:hAnsi="Tahoma" w:cs="Tahoma"/>
          <w:b/>
          <w:sz w:val="23"/>
          <w:szCs w:val="23"/>
        </w:rPr>
        <w:t xml:space="preserve">Coefficients  </w:t>
      </w:r>
    </w:p>
    <w:p w:rsidR="00C10571" w:rsidRPr="00BC22F7" w:rsidRDefault="00C10571" w:rsidP="00C10571">
      <w:pPr>
        <w:spacing w:after="0" w:line="240" w:lineRule="auto"/>
        <w:rPr>
          <w:rFonts w:ascii="Tahoma" w:hAnsi="Tahoma" w:cs="Tahoma"/>
          <w:sz w:val="23"/>
          <w:szCs w:val="23"/>
        </w:rPr>
      </w:pPr>
    </w:p>
    <w:tbl>
      <w:tblPr>
        <w:tblStyle w:val="TableGrid"/>
        <w:tblW w:w="0" w:type="auto"/>
        <w:tblLook w:val="04A0"/>
      </w:tblPr>
      <w:tblGrid>
        <w:gridCol w:w="4248"/>
        <w:gridCol w:w="2385"/>
        <w:gridCol w:w="2385"/>
      </w:tblGrid>
      <w:tr w:rsidR="00C10571" w:rsidRPr="00BC22F7" w:rsidTr="00FC2782">
        <w:trPr>
          <w:trHeight w:val="506"/>
        </w:trPr>
        <w:tc>
          <w:tcPr>
            <w:tcW w:w="4248" w:type="dxa"/>
          </w:tcPr>
          <w:p w:rsidR="00C10571" w:rsidRPr="00BC22F7" w:rsidRDefault="00C10571" w:rsidP="005305A2">
            <w:pPr>
              <w:jc w:val="center"/>
              <w:rPr>
                <w:rFonts w:ascii="Arial" w:hAnsi="Arial" w:cs="Arial"/>
              </w:rPr>
            </w:pPr>
          </w:p>
          <w:p w:rsidR="00C10571" w:rsidRPr="00BC22F7" w:rsidRDefault="00C10571" w:rsidP="005305A2">
            <w:pPr>
              <w:jc w:val="center"/>
              <w:rPr>
                <w:rFonts w:ascii="Arial" w:hAnsi="Arial" w:cs="Arial"/>
                <w:i/>
              </w:rPr>
            </w:pPr>
            <w:r w:rsidRPr="00BC22F7">
              <w:rPr>
                <w:rFonts w:ascii="Arial" w:hAnsi="Arial" w:cs="Arial"/>
                <w:i/>
              </w:rPr>
              <w:t>Work Values</w:t>
            </w:r>
          </w:p>
        </w:tc>
        <w:tc>
          <w:tcPr>
            <w:tcW w:w="2385" w:type="dxa"/>
          </w:tcPr>
          <w:p w:rsidR="00C10571" w:rsidRPr="00BC22F7" w:rsidRDefault="005305A2" w:rsidP="005305A2">
            <w:pPr>
              <w:jc w:val="center"/>
              <w:rPr>
                <w:rFonts w:ascii="Arial" w:hAnsi="Arial" w:cs="Arial"/>
                <w:i/>
              </w:rPr>
            </w:pPr>
            <w:r w:rsidRPr="00BC22F7">
              <w:rPr>
                <w:rFonts w:ascii="Arial" w:hAnsi="Arial" w:cs="Arial"/>
                <w:i/>
              </w:rPr>
              <w:t xml:space="preserve">Standard. </w:t>
            </w:r>
            <w:r w:rsidR="00C10571" w:rsidRPr="00BC22F7">
              <w:rPr>
                <w:rFonts w:ascii="Arial" w:hAnsi="Arial" w:cs="Arial"/>
                <w:i/>
              </w:rPr>
              <w:t>Function Coefficient</w:t>
            </w:r>
          </w:p>
        </w:tc>
        <w:tc>
          <w:tcPr>
            <w:tcW w:w="2385" w:type="dxa"/>
          </w:tcPr>
          <w:p w:rsidR="00C10571" w:rsidRPr="00BC22F7" w:rsidRDefault="00C10571" w:rsidP="005305A2">
            <w:pPr>
              <w:jc w:val="center"/>
              <w:rPr>
                <w:rFonts w:ascii="Arial" w:hAnsi="Arial" w:cs="Arial"/>
                <w:i/>
              </w:rPr>
            </w:pPr>
          </w:p>
          <w:p w:rsidR="00C10571" w:rsidRPr="00BC22F7" w:rsidRDefault="00C10571" w:rsidP="005305A2">
            <w:pPr>
              <w:jc w:val="center"/>
              <w:rPr>
                <w:rFonts w:ascii="Arial" w:hAnsi="Arial" w:cs="Arial"/>
                <w:i/>
              </w:rPr>
            </w:pPr>
            <w:r w:rsidRPr="00BC22F7">
              <w:rPr>
                <w:rFonts w:ascii="Arial" w:hAnsi="Arial" w:cs="Arial"/>
                <w:i/>
              </w:rPr>
              <w:t>r</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Job security</w:t>
            </w:r>
          </w:p>
        </w:tc>
        <w:tc>
          <w:tcPr>
            <w:tcW w:w="2385" w:type="dxa"/>
            <w:vAlign w:val="center"/>
          </w:tcPr>
          <w:p w:rsidR="00C10571" w:rsidRPr="00BC22F7" w:rsidRDefault="00FC278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.47</w:t>
            </w:r>
          </w:p>
        </w:tc>
        <w:tc>
          <w:tcPr>
            <w:tcW w:w="2385" w:type="dxa"/>
            <w:vAlign w:val="center"/>
          </w:tcPr>
          <w:p w:rsidR="00C10571" w:rsidRPr="00BC22F7" w:rsidRDefault="00FC278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.51</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Commitment to social responsibility</w:t>
            </w:r>
          </w:p>
        </w:tc>
        <w:tc>
          <w:tcPr>
            <w:tcW w:w="2385" w:type="dxa"/>
            <w:vAlign w:val="center"/>
          </w:tcPr>
          <w:p w:rsidR="00C10571" w:rsidRPr="00BC22F7" w:rsidRDefault="00FC278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.43</w:t>
            </w:r>
          </w:p>
        </w:tc>
        <w:tc>
          <w:tcPr>
            <w:tcW w:w="2385" w:type="dxa"/>
            <w:vAlign w:val="center"/>
          </w:tcPr>
          <w:p w:rsidR="00C10571" w:rsidRPr="00BC22F7" w:rsidRDefault="00FC278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.50</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Good health and benefits plan</w:t>
            </w:r>
          </w:p>
        </w:tc>
        <w:tc>
          <w:tcPr>
            <w:tcW w:w="2385" w:type="dxa"/>
            <w:vAlign w:val="center"/>
          </w:tcPr>
          <w:p w:rsidR="00C10571" w:rsidRPr="00BC22F7" w:rsidRDefault="00FC278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.42</w:t>
            </w:r>
          </w:p>
        </w:tc>
        <w:tc>
          <w:tcPr>
            <w:tcW w:w="2385" w:type="dxa"/>
            <w:vAlign w:val="center"/>
          </w:tcPr>
          <w:p w:rsidR="00C10571" w:rsidRPr="00BC22F7" w:rsidRDefault="00FC278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.49</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Organization is a leader in its field </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-.40</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-.26</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Opportunities for advancement </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-.32</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-.26</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Opportunities for a personal impact</w:t>
            </w:r>
          </w:p>
        </w:tc>
        <w:tc>
          <w:tcPr>
            <w:tcW w:w="2385" w:type="dxa"/>
            <w:vAlign w:val="center"/>
          </w:tcPr>
          <w:p w:rsidR="00C10571" w:rsidRPr="00BC22F7" w:rsidRDefault="00FC278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.23</w:t>
            </w:r>
          </w:p>
        </w:tc>
        <w:tc>
          <w:tcPr>
            <w:tcW w:w="2385" w:type="dxa"/>
            <w:vAlign w:val="center"/>
          </w:tcPr>
          <w:p w:rsidR="00C10571" w:rsidRPr="00BC22F7" w:rsidRDefault="00FC278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.22</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Good people to work with</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-.22</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-.03</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Opportunities to travel</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-.20</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-.22</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Good initial salary level</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-.16</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-.06</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Commitment to employee diversity</w:t>
            </w:r>
          </w:p>
        </w:tc>
        <w:tc>
          <w:tcPr>
            <w:tcW w:w="2385" w:type="dxa"/>
            <w:vAlign w:val="center"/>
          </w:tcPr>
          <w:p w:rsidR="00C10571" w:rsidRPr="00BC22F7" w:rsidRDefault="005305A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.13</w:t>
            </w:r>
          </w:p>
        </w:tc>
        <w:tc>
          <w:tcPr>
            <w:tcW w:w="2385" w:type="dxa"/>
            <w:vAlign w:val="center"/>
          </w:tcPr>
          <w:p w:rsidR="00C10571" w:rsidRPr="00BC22F7" w:rsidRDefault="005305A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.30</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Good people to report to</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-.12</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-.01</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Good variety of work</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-.09</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 xml:space="preserve">  -.04</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Interesting work</w:t>
            </w:r>
          </w:p>
        </w:tc>
        <w:tc>
          <w:tcPr>
            <w:tcW w:w="2385" w:type="dxa"/>
            <w:vAlign w:val="center"/>
          </w:tcPr>
          <w:p w:rsidR="00C10571" w:rsidRPr="00BC22F7" w:rsidRDefault="00FC278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.05</w:t>
            </w:r>
          </w:p>
        </w:tc>
        <w:tc>
          <w:tcPr>
            <w:tcW w:w="2385" w:type="dxa"/>
            <w:vAlign w:val="center"/>
          </w:tcPr>
          <w:p w:rsidR="00C10571" w:rsidRPr="00BC22F7" w:rsidRDefault="005305A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.02</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Work-life balance</w:t>
            </w:r>
          </w:p>
        </w:tc>
        <w:tc>
          <w:tcPr>
            <w:tcW w:w="2385" w:type="dxa"/>
            <w:vAlign w:val="center"/>
          </w:tcPr>
          <w:p w:rsidR="00C10571" w:rsidRPr="00BC22F7" w:rsidRDefault="00C10571" w:rsidP="00FC2782">
            <w:pPr>
              <w:spacing w:line="360" w:lineRule="auto"/>
              <w:rPr>
                <w:rFonts w:ascii="Arial" w:hAnsi="Arial" w:cs="Arial"/>
              </w:rPr>
            </w:pPr>
            <w:r w:rsidRPr="00BC22F7">
              <w:rPr>
                <w:rFonts w:ascii="Arial" w:hAnsi="Arial" w:cs="Arial"/>
              </w:rPr>
              <w:t xml:space="preserve">          </w:t>
            </w:r>
            <w:r w:rsidR="005305A2" w:rsidRPr="00BC22F7">
              <w:rPr>
                <w:rFonts w:ascii="Arial" w:hAnsi="Arial" w:cs="Arial"/>
              </w:rPr>
              <w:t xml:space="preserve">    </w:t>
            </w:r>
            <w:r w:rsidRPr="00BC22F7">
              <w:rPr>
                <w:rFonts w:ascii="Arial" w:hAnsi="Arial" w:cs="Arial"/>
              </w:rPr>
              <w:t>-.02</w:t>
            </w:r>
          </w:p>
        </w:tc>
        <w:tc>
          <w:tcPr>
            <w:tcW w:w="2385" w:type="dxa"/>
            <w:vAlign w:val="center"/>
          </w:tcPr>
          <w:p w:rsidR="00C10571" w:rsidRPr="00BC22F7" w:rsidRDefault="005305A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.22</w:t>
            </w:r>
          </w:p>
        </w:tc>
      </w:tr>
      <w:tr w:rsidR="00C10571" w:rsidRPr="00BC22F7" w:rsidTr="00FC2782">
        <w:trPr>
          <w:trHeight w:val="506"/>
        </w:trPr>
        <w:tc>
          <w:tcPr>
            <w:tcW w:w="4248" w:type="dxa"/>
            <w:vAlign w:val="center"/>
          </w:tcPr>
          <w:p w:rsidR="00C10571" w:rsidRPr="00BC22F7" w:rsidRDefault="00C10571" w:rsidP="00FC2782">
            <w:pPr>
              <w:spacing w:line="360" w:lineRule="auto"/>
              <w:rPr>
                <w:rFonts w:ascii="Arial" w:hAnsi="Arial" w:cs="Arial"/>
              </w:rPr>
            </w:pPr>
            <w:r w:rsidRPr="00BC22F7">
              <w:rPr>
                <w:rFonts w:ascii="Arial" w:hAnsi="Arial" w:cs="Arial"/>
              </w:rPr>
              <w:t>Good training opportunities</w:t>
            </w:r>
          </w:p>
        </w:tc>
        <w:tc>
          <w:tcPr>
            <w:tcW w:w="2385" w:type="dxa"/>
            <w:vAlign w:val="center"/>
          </w:tcPr>
          <w:p w:rsidR="00C10571" w:rsidRPr="00BC22F7" w:rsidRDefault="00FC278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.01</w:t>
            </w:r>
          </w:p>
        </w:tc>
        <w:tc>
          <w:tcPr>
            <w:tcW w:w="2385" w:type="dxa"/>
            <w:vAlign w:val="center"/>
          </w:tcPr>
          <w:p w:rsidR="00C10571" w:rsidRPr="00BC22F7" w:rsidRDefault="005305A2" w:rsidP="00FC2782">
            <w:pPr>
              <w:spacing w:line="360" w:lineRule="auto"/>
              <w:rPr>
                <w:rFonts w:ascii="Arial" w:hAnsi="Arial" w:cs="Arial"/>
              </w:rPr>
            </w:pPr>
            <w:r w:rsidRPr="00BC22F7">
              <w:rPr>
                <w:rFonts w:ascii="Arial" w:hAnsi="Arial" w:cs="Arial"/>
              </w:rPr>
              <w:t xml:space="preserve">               </w:t>
            </w:r>
            <w:r w:rsidR="00C10571" w:rsidRPr="00BC22F7">
              <w:rPr>
                <w:rFonts w:ascii="Arial" w:hAnsi="Arial" w:cs="Arial"/>
              </w:rPr>
              <w:t>.03</w:t>
            </w:r>
          </w:p>
        </w:tc>
      </w:tr>
    </w:tbl>
    <w:p w:rsidR="00C10571" w:rsidRPr="00BC22F7" w:rsidRDefault="00C10571" w:rsidP="00C10571">
      <w:pPr>
        <w:spacing w:after="0" w:line="240" w:lineRule="auto"/>
        <w:rPr>
          <w:rFonts w:ascii="Tahoma" w:hAnsi="Tahoma" w:cs="Tahoma"/>
          <w:sz w:val="23"/>
          <w:szCs w:val="23"/>
        </w:rPr>
      </w:pPr>
    </w:p>
    <w:p w:rsidR="006A5C4E" w:rsidRPr="00BC22F7" w:rsidRDefault="006A5C4E" w:rsidP="008A026D">
      <w:pPr>
        <w:spacing w:after="0" w:line="240" w:lineRule="auto"/>
        <w:ind w:left="284" w:hanging="284"/>
        <w:rPr>
          <w:rFonts w:ascii="Tahoma" w:hAnsi="Tahoma" w:cs="Tahoma"/>
          <w:bCs/>
          <w:sz w:val="23"/>
          <w:szCs w:val="23"/>
        </w:rPr>
      </w:pPr>
    </w:p>
    <w:p w:rsidR="00275907" w:rsidRPr="00BC22F7" w:rsidRDefault="00275907" w:rsidP="007A3063">
      <w:pPr>
        <w:rPr>
          <w:rFonts w:ascii="Tahoma" w:hAnsi="Tahoma" w:cs="Tahoma"/>
          <w:bCs/>
          <w:sz w:val="23"/>
          <w:szCs w:val="23"/>
        </w:rPr>
      </w:pPr>
    </w:p>
    <w:p w:rsidR="00275907" w:rsidRPr="00BC22F7" w:rsidRDefault="00275907" w:rsidP="007A3063">
      <w:pPr>
        <w:rPr>
          <w:rFonts w:ascii="Tahoma" w:hAnsi="Tahoma" w:cs="Tahoma"/>
          <w:bCs/>
          <w:sz w:val="23"/>
          <w:szCs w:val="23"/>
        </w:rPr>
      </w:pPr>
    </w:p>
    <w:p w:rsidR="00275907" w:rsidRPr="00BC22F7" w:rsidRDefault="00275907" w:rsidP="007A3063">
      <w:pPr>
        <w:rPr>
          <w:rFonts w:ascii="Tahoma" w:hAnsi="Tahoma" w:cs="Tahoma"/>
          <w:bCs/>
          <w:sz w:val="23"/>
          <w:szCs w:val="23"/>
        </w:rPr>
      </w:pPr>
    </w:p>
    <w:p w:rsidR="00275907" w:rsidRPr="00BC22F7" w:rsidRDefault="00275907" w:rsidP="007A3063">
      <w:pPr>
        <w:rPr>
          <w:rFonts w:ascii="Tahoma" w:hAnsi="Tahoma" w:cs="Tahoma"/>
          <w:bCs/>
          <w:sz w:val="23"/>
          <w:szCs w:val="23"/>
        </w:rPr>
      </w:pPr>
    </w:p>
    <w:p w:rsidR="00275907" w:rsidRPr="00BC22F7" w:rsidRDefault="00275907" w:rsidP="007A3063">
      <w:pPr>
        <w:rPr>
          <w:rFonts w:ascii="Tahoma" w:hAnsi="Tahoma" w:cs="Tahoma"/>
          <w:bCs/>
          <w:sz w:val="23"/>
          <w:szCs w:val="23"/>
        </w:rPr>
      </w:pPr>
    </w:p>
    <w:p w:rsidR="00275907" w:rsidRPr="00BC22F7" w:rsidRDefault="00275907">
      <w:pPr>
        <w:rPr>
          <w:rFonts w:ascii="Tahoma" w:hAnsi="Tahoma" w:cs="Tahoma"/>
          <w:bCs/>
          <w:sz w:val="23"/>
          <w:szCs w:val="23"/>
        </w:rPr>
      </w:pPr>
      <w:r w:rsidRPr="00BC22F7">
        <w:rPr>
          <w:rFonts w:ascii="Tahoma" w:hAnsi="Tahoma" w:cs="Tahoma"/>
          <w:bCs/>
          <w:sz w:val="23"/>
          <w:szCs w:val="23"/>
        </w:rPr>
        <w:br w:type="page"/>
      </w:r>
    </w:p>
    <w:p w:rsidR="00275907" w:rsidRPr="00BC22F7" w:rsidRDefault="00275907" w:rsidP="00C10571">
      <w:pPr>
        <w:pStyle w:val="BodyText3"/>
        <w:spacing w:line="240" w:lineRule="auto"/>
        <w:jc w:val="left"/>
        <w:rPr>
          <w:rFonts w:ascii="Tahoma" w:hAnsi="Tahoma" w:cs="Tahoma"/>
          <w:b/>
          <w:bCs/>
          <w:sz w:val="23"/>
          <w:szCs w:val="23"/>
          <w:lang w:val="en-CA"/>
        </w:rPr>
        <w:sectPr w:rsidR="00275907" w:rsidRPr="00BC22F7" w:rsidSect="00633591">
          <w:footerReference w:type="default" r:id="rId16"/>
          <w:pgSz w:w="12240" w:h="15840"/>
          <w:pgMar w:top="1440" w:right="1440" w:bottom="1440" w:left="1440" w:header="708" w:footer="708" w:gutter="0"/>
          <w:cols w:space="708"/>
          <w:docGrid w:linePitch="360"/>
        </w:sectPr>
      </w:pPr>
    </w:p>
    <w:p w:rsidR="00160EE3" w:rsidRPr="00BC22F7" w:rsidRDefault="006A5C4E" w:rsidP="00C10571">
      <w:pPr>
        <w:pStyle w:val="BodyText3"/>
        <w:spacing w:line="240" w:lineRule="auto"/>
        <w:jc w:val="left"/>
        <w:rPr>
          <w:rFonts w:ascii="Tahoma" w:hAnsi="Tahoma" w:cs="Tahoma"/>
          <w:b/>
          <w:bCs/>
          <w:sz w:val="23"/>
          <w:szCs w:val="23"/>
          <w:lang w:val="en-CA"/>
        </w:rPr>
      </w:pPr>
      <w:r w:rsidRPr="00BC22F7">
        <w:rPr>
          <w:rFonts w:ascii="Tahoma" w:hAnsi="Tahoma" w:cs="Tahoma"/>
          <w:b/>
          <w:bCs/>
          <w:sz w:val="23"/>
          <w:szCs w:val="23"/>
          <w:lang w:val="en-CA"/>
        </w:rPr>
        <w:lastRenderedPageBreak/>
        <w:t xml:space="preserve">Table 4:   </w:t>
      </w:r>
      <w:proofErr w:type="spellStart"/>
      <w:r w:rsidR="008403B2" w:rsidRPr="00BC22F7">
        <w:rPr>
          <w:rFonts w:ascii="Tahoma" w:hAnsi="Tahoma" w:cs="Tahoma"/>
          <w:b/>
          <w:bCs/>
          <w:sz w:val="23"/>
          <w:szCs w:val="23"/>
          <w:lang w:val="en-CA"/>
        </w:rPr>
        <w:t>Univariate</w:t>
      </w:r>
      <w:proofErr w:type="spellEnd"/>
      <w:r w:rsidR="008403B2" w:rsidRPr="00BC22F7">
        <w:rPr>
          <w:rFonts w:ascii="Tahoma" w:hAnsi="Tahoma" w:cs="Tahoma"/>
          <w:b/>
          <w:bCs/>
          <w:sz w:val="23"/>
          <w:szCs w:val="23"/>
          <w:lang w:val="en-CA"/>
        </w:rPr>
        <w:t xml:space="preserve"> Effect</w:t>
      </w:r>
      <w:r w:rsidR="00FC2782" w:rsidRPr="00BC22F7">
        <w:rPr>
          <w:rFonts w:ascii="Tahoma" w:hAnsi="Tahoma" w:cs="Tahoma"/>
          <w:b/>
          <w:bCs/>
          <w:sz w:val="23"/>
          <w:szCs w:val="23"/>
          <w:lang w:val="en-CA"/>
        </w:rPr>
        <w:t xml:space="preserve">s of </w:t>
      </w:r>
      <w:r w:rsidR="005305A2" w:rsidRPr="00BC22F7">
        <w:rPr>
          <w:rFonts w:ascii="Tahoma" w:hAnsi="Tahoma" w:cs="Tahoma"/>
          <w:b/>
          <w:bCs/>
          <w:sz w:val="23"/>
          <w:szCs w:val="23"/>
          <w:lang w:val="en-CA"/>
        </w:rPr>
        <w:t xml:space="preserve">Demographic Variables on </w:t>
      </w:r>
      <w:r w:rsidR="008403B2" w:rsidRPr="00BC22F7">
        <w:rPr>
          <w:rFonts w:ascii="Tahoma" w:hAnsi="Tahoma" w:cs="Tahoma"/>
          <w:b/>
          <w:bCs/>
          <w:sz w:val="23"/>
          <w:szCs w:val="23"/>
          <w:lang w:val="en-CA"/>
        </w:rPr>
        <w:t xml:space="preserve">Work Values </w:t>
      </w:r>
      <w:r w:rsidR="00160EE3" w:rsidRPr="00BC22F7">
        <w:rPr>
          <w:rFonts w:ascii="Tahoma" w:hAnsi="Tahoma" w:cs="Tahoma"/>
          <w:b/>
          <w:bCs/>
          <w:sz w:val="23"/>
          <w:szCs w:val="23"/>
          <w:lang w:val="en-CA"/>
        </w:rPr>
        <w:t xml:space="preserve">associated with Attraction to </w:t>
      </w:r>
    </w:p>
    <w:p w:rsidR="006A5C4E" w:rsidRPr="00BC22F7" w:rsidRDefault="00160EE3" w:rsidP="00C10571">
      <w:pPr>
        <w:pStyle w:val="BodyText3"/>
        <w:spacing w:line="240" w:lineRule="auto"/>
        <w:jc w:val="left"/>
        <w:rPr>
          <w:rFonts w:ascii="Tahoma" w:hAnsi="Tahoma" w:cs="Tahoma"/>
          <w:b/>
          <w:bCs/>
          <w:sz w:val="23"/>
          <w:szCs w:val="23"/>
          <w:lang w:val="en-CA"/>
        </w:rPr>
      </w:pPr>
      <w:r w:rsidRPr="00BC22F7">
        <w:rPr>
          <w:rFonts w:ascii="Tahoma" w:hAnsi="Tahoma" w:cs="Tahoma"/>
          <w:b/>
          <w:bCs/>
          <w:sz w:val="23"/>
          <w:szCs w:val="23"/>
          <w:lang w:val="en-CA"/>
        </w:rPr>
        <w:t xml:space="preserve">                 Employment in the Public vs. Private Sector </w:t>
      </w:r>
    </w:p>
    <w:p w:rsidR="00DB6916" w:rsidRPr="00BC22F7" w:rsidRDefault="00DB6916" w:rsidP="00CA6410">
      <w:pPr>
        <w:pStyle w:val="BodyText3"/>
        <w:spacing w:line="240" w:lineRule="auto"/>
        <w:jc w:val="left"/>
        <w:rPr>
          <w:b/>
          <w:bCs/>
          <w:lang w:val="en-CA"/>
        </w:rPr>
      </w:pPr>
    </w:p>
    <w:tbl>
      <w:tblPr>
        <w:tblStyle w:val="TableGrid"/>
        <w:tblW w:w="13878" w:type="dxa"/>
        <w:tblBorders>
          <w:left w:val="none" w:sz="0" w:space="0" w:color="auto"/>
          <w:right w:val="none" w:sz="0" w:space="0" w:color="auto"/>
        </w:tblBorders>
        <w:tblLook w:val="04A0"/>
      </w:tblPr>
      <w:tblGrid>
        <w:gridCol w:w="13878"/>
      </w:tblGrid>
      <w:tr w:rsidR="00DB6916" w:rsidRPr="00BC22F7" w:rsidTr="00CA6410">
        <w:trPr>
          <w:trHeight w:val="413"/>
        </w:trPr>
        <w:tc>
          <w:tcPr>
            <w:tcW w:w="13878" w:type="dxa"/>
          </w:tcPr>
          <w:p w:rsidR="00CA6410" w:rsidRPr="00BC22F7" w:rsidRDefault="00CA6410" w:rsidP="00CA6410">
            <w:pPr>
              <w:pStyle w:val="BodyText3"/>
              <w:tabs>
                <w:tab w:val="left" w:pos="2080"/>
                <w:tab w:val="right" w:pos="12960"/>
              </w:tabs>
              <w:spacing w:line="240" w:lineRule="auto"/>
              <w:jc w:val="left"/>
              <w:rPr>
                <w:rFonts w:ascii="Arial" w:hAnsi="Arial" w:cs="Arial"/>
                <w:b/>
                <w:bCs/>
                <w:sz w:val="20"/>
                <w:lang w:val="en-CA"/>
              </w:rPr>
            </w:pPr>
            <w:r w:rsidRPr="00BC22F7">
              <w:rPr>
                <w:rFonts w:ascii="Arial" w:hAnsi="Arial" w:cs="Arial"/>
                <w:b/>
                <w:bCs/>
                <w:sz w:val="20"/>
                <w:lang w:val="en-CA"/>
              </w:rPr>
              <w:t xml:space="preserve">                                </w:t>
            </w:r>
          </w:p>
          <w:p w:rsidR="00DB6916" w:rsidRPr="00BC22F7" w:rsidRDefault="00CA6410" w:rsidP="00CA6410">
            <w:pPr>
              <w:pStyle w:val="BodyText3"/>
              <w:tabs>
                <w:tab w:val="left" w:pos="2080"/>
                <w:tab w:val="right" w:pos="12960"/>
              </w:tabs>
              <w:spacing w:line="240" w:lineRule="auto"/>
              <w:jc w:val="left"/>
              <w:rPr>
                <w:rFonts w:ascii="Arial" w:hAnsi="Arial" w:cs="Arial"/>
                <w:bCs/>
                <w:i/>
                <w:sz w:val="20"/>
                <w:lang w:val="en-CA"/>
              </w:rPr>
            </w:pPr>
            <w:r w:rsidRPr="00BC22F7">
              <w:rPr>
                <w:rFonts w:ascii="Arial" w:hAnsi="Arial" w:cs="Arial"/>
                <w:bCs/>
                <w:sz w:val="20"/>
                <w:lang w:val="en-CA"/>
              </w:rPr>
              <w:t xml:space="preserve">                                  </w:t>
            </w:r>
            <w:r w:rsidR="007C3F58" w:rsidRPr="00BC22F7">
              <w:rPr>
                <w:rFonts w:ascii="Arial" w:hAnsi="Arial" w:cs="Arial"/>
                <w:bCs/>
                <w:sz w:val="20"/>
                <w:lang w:val="en-CA"/>
              </w:rPr>
              <w:t xml:space="preserve"> </w:t>
            </w:r>
            <w:r w:rsidRPr="00BC22F7">
              <w:rPr>
                <w:rFonts w:ascii="Arial" w:hAnsi="Arial" w:cs="Arial"/>
                <w:b/>
                <w:bCs/>
                <w:sz w:val="20"/>
                <w:lang w:val="en-CA"/>
              </w:rPr>
              <w:t xml:space="preserve"> </w:t>
            </w:r>
            <w:r w:rsidRPr="00BC22F7">
              <w:rPr>
                <w:rFonts w:ascii="Arial" w:hAnsi="Arial" w:cs="Arial"/>
                <w:bCs/>
                <w:i/>
                <w:sz w:val="20"/>
                <w:lang w:val="en-CA"/>
              </w:rPr>
              <w:t xml:space="preserve">Job Security            </w:t>
            </w:r>
            <w:r w:rsidR="007C3F58" w:rsidRPr="00BC22F7">
              <w:rPr>
                <w:rFonts w:ascii="Arial" w:hAnsi="Arial" w:cs="Arial"/>
                <w:bCs/>
                <w:i/>
                <w:sz w:val="20"/>
                <w:lang w:val="en-CA"/>
              </w:rPr>
              <w:t xml:space="preserve"> </w:t>
            </w:r>
            <w:r w:rsidRPr="00BC22F7">
              <w:rPr>
                <w:rFonts w:ascii="Arial" w:hAnsi="Arial" w:cs="Arial"/>
                <w:bCs/>
                <w:i/>
                <w:sz w:val="20"/>
                <w:lang w:val="en-CA"/>
              </w:rPr>
              <w:t xml:space="preserve">Social </w:t>
            </w:r>
            <w:proofErr w:type="spellStart"/>
            <w:r w:rsidRPr="00BC22F7">
              <w:rPr>
                <w:rFonts w:ascii="Arial" w:hAnsi="Arial" w:cs="Arial"/>
                <w:bCs/>
                <w:i/>
                <w:sz w:val="20"/>
                <w:lang w:val="en-CA"/>
              </w:rPr>
              <w:t>Respons</w:t>
            </w:r>
            <w:proofErr w:type="spellEnd"/>
            <w:r w:rsidRPr="00BC22F7">
              <w:rPr>
                <w:rFonts w:ascii="Arial" w:hAnsi="Arial" w:cs="Arial"/>
                <w:bCs/>
                <w:i/>
                <w:sz w:val="20"/>
                <w:lang w:val="en-CA"/>
              </w:rPr>
              <w:t xml:space="preserve">.       </w:t>
            </w:r>
            <w:r w:rsidR="007C3F58" w:rsidRPr="00BC22F7">
              <w:rPr>
                <w:rFonts w:ascii="Arial" w:hAnsi="Arial" w:cs="Arial"/>
                <w:bCs/>
                <w:i/>
                <w:sz w:val="20"/>
                <w:lang w:val="en-CA"/>
              </w:rPr>
              <w:t xml:space="preserve">  </w:t>
            </w:r>
            <w:r w:rsidRPr="00BC22F7">
              <w:rPr>
                <w:rFonts w:ascii="Arial" w:hAnsi="Arial" w:cs="Arial"/>
                <w:bCs/>
                <w:i/>
                <w:sz w:val="20"/>
                <w:lang w:val="en-CA"/>
              </w:rPr>
              <w:t xml:space="preserve">Health &amp; Benefits              </w:t>
            </w:r>
            <w:r w:rsidR="007C3F58" w:rsidRPr="00BC22F7">
              <w:rPr>
                <w:rFonts w:ascii="Arial" w:hAnsi="Arial" w:cs="Arial"/>
                <w:bCs/>
                <w:i/>
                <w:sz w:val="20"/>
                <w:lang w:val="en-CA"/>
              </w:rPr>
              <w:t xml:space="preserve">   </w:t>
            </w:r>
            <w:r w:rsidRPr="00BC22F7">
              <w:rPr>
                <w:rFonts w:ascii="Arial" w:hAnsi="Arial" w:cs="Arial"/>
                <w:bCs/>
                <w:i/>
                <w:sz w:val="20"/>
                <w:lang w:val="en-CA"/>
              </w:rPr>
              <w:t>Diversity                  Leader in Field</w:t>
            </w:r>
            <w:r w:rsidRPr="00BC22F7">
              <w:rPr>
                <w:rFonts w:ascii="Arial" w:hAnsi="Arial" w:cs="Arial"/>
                <w:bCs/>
                <w:i/>
                <w:sz w:val="20"/>
                <w:lang w:val="en-CA"/>
              </w:rPr>
              <w:tab/>
              <w:t xml:space="preserve">       Opp. Advancement </w:t>
            </w:r>
          </w:p>
          <w:p w:rsidR="00CA6410" w:rsidRPr="00BC22F7" w:rsidRDefault="00CA6410" w:rsidP="00CA6410">
            <w:pPr>
              <w:pStyle w:val="BodyText3"/>
              <w:tabs>
                <w:tab w:val="left" w:pos="2080"/>
                <w:tab w:val="right" w:pos="12960"/>
              </w:tabs>
              <w:spacing w:line="240" w:lineRule="auto"/>
              <w:jc w:val="left"/>
              <w:rPr>
                <w:rFonts w:ascii="Arial" w:hAnsi="Arial" w:cs="Arial"/>
                <w:b/>
                <w:bCs/>
                <w:sz w:val="20"/>
                <w:lang w:val="en-CA"/>
              </w:rPr>
            </w:pPr>
          </w:p>
        </w:tc>
      </w:tr>
    </w:tbl>
    <w:p w:rsidR="00DB6916" w:rsidRPr="00BC22F7" w:rsidRDefault="00DB6916" w:rsidP="006A5C4E">
      <w:pPr>
        <w:pStyle w:val="BodyText3"/>
        <w:spacing w:line="240" w:lineRule="auto"/>
        <w:rPr>
          <w:b/>
          <w:bCs/>
          <w:lang w:val="en-CA"/>
        </w:rPr>
      </w:pPr>
    </w:p>
    <w:tbl>
      <w:tblPr>
        <w:tblW w:w="13896" w:type="dxa"/>
        <w:tblBorders>
          <w:bottom w:val="single" w:sz="4" w:space="0" w:color="auto"/>
        </w:tblBorders>
        <w:tblLayout w:type="fixed"/>
        <w:tblLook w:val="0000"/>
      </w:tblPr>
      <w:tblGrid>
        <w:gridCol w:w="1800"/>
        <w:gridCol w:w="1008"/>
        <w:gridCol w:w="1008"/>
        <w:gridCol w:w="1008"/>
        <w:gridCol w:w="1008"/>
        <w:gridCol w:w="1008"/>
        <w:gridCol w:w="1008"/>
        <w:gridCol w:w="1008"/>
        <w:gridCol w:w="1008"/>
        <w:gridCol w:w="1008"/>
        <w:gridCol w:w="1008"/>
        <w:gridCol w:w="1008"/>
        <w:gridCol w:w="1008"/>
      </w:tblGrid>
      <w:tr w:rsidR="00A952AF" w:rsidRPr="00BC22F7" w:rsidTr="001A5CA9">
        <w:tc>
          <w:tcPr>
            <w:tcW w:w="1800" w:type="dxa"/>
          </w:tcPr>
          <w:p w:rsidR="00A952AF" w:rsidRPr="00BC22F7" w:rsidRDefault="00A952AF" w:rsidP="00DB6916">
            <w:pP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i/>
                <w:sz w:val="20"/>
                <w:u w:val="single"/>
              </w:rPr>
            </w:pPr>
            <w:r w:rsidRPr="00BC22F7">
              <w:rPr>
                <w:rFonts w:ascii="Arial" w:hAnsi="Arial" w:cs="Arial"/>
                <w:i/>
                <w:sz w:val="20"/>
                <w:u w:val="single"/>
              </w:rPr>
              <w:t>Mean</w:t>
            </w:r>
          </w:p>
        </w:tc>
        <w:tc>
          <w:tcPr>
            <w:tcW w:w="1008" w:type="dxa"/>
          </w:tcPr>
          <w:p w:rsidR="00A952AF" w:rsidRPr="00BC22F7" w:rsidRDefault="00A952AF" w:rsidP="00A952AF">
            <w:pPr>
              <w:spacing w:after="0" w:line="240" w:lineRule="auto"/>
              <w:rPr>
                <w:rFonts w:ascii="Arial" w:hAnsi="Arial" w:cs="Arial"/>
                <w:i/>
                <w:iCs/>
                <w:sz w:val="20"/>
                <w:u w:val="single"/>
              </w:rPr>
            </w:pPr>
            <w:proofErr w:type="spellStart"/>
            <w:r w:rsidRPr="00BC22F7">
              <w:rPr>
                <w:rFonts w:ascii="Arial" w:hAnsi="Arial" w:cs="Arial"/>
                <w:i/>
                <w:iCs/>
                <w:sz w:val="20"/>
                <w:u w:val="single"/>
              </w:rPr>
              <w:t>s.d</w:t>
            </w:r>
            <w:proofErr w:type="spellEnd"/>
            <w:r w:rsidRPr="00BC22F7">
              <w:rPr>
                <w:rFonts w:ascii="Arial" w:hAnsi="Arial" w:cs="Arial"/>
                <w:i/>
                <w:iCs/>
                <w:sz w:val="20"/>
                <w:u w:val="single"/>
              </w:rPr>
              <w:t>.</w:t>
            </w:r>
          </w:p>
        </w:tc>
        <w:tc>
          <w:tcPr>
            <w:tcW w:w="1008" w:type="dxa"/>
          </w:tcPr>
          <w:p w:rsidR="00A952AF" w:rsidRPr="00BC22F7" w:rsidRDefault="00A952AF" w:rsidP="006A5C4E">
            <w:pPr>
              <w:spacing w:after="0" w:line="240" w:lineRule="auto"/>
              <w:jc w:val="center"/>
              <w:rPr>
                <w:rFonts w:ascii="Arial" w:hAnsi="Arial" w:cs="Arial"/>
                <w:i/>
                <w:sz w:val="20"/>
                <w:u w:val="single"/>
              </w:rPr>
            </w:pPr>
            <w:r w:rsidRPr="00BC22F7">
              <w:rPr>
                <w:rFonts w:ascii="Arial" w:hAnsi="Arial" w:cs="Arial"/>
                <w:i/>
                <w:sz w:val="20"/>
                <w:u w:val="single"/>
              </w:rPr>
              <w:t>Mean</w:t>
            </w:r>
          </w:p>
        </w:tc>
        <w:tc>
          <w:tcPr>
            <w:tcW w:w="1008" w:type="dxa"/>
          </w:tcPr>
          <w:p w:rsidR="00A952AF" w:rsidRPr="00BC22F7" w:rsidRDefault="00A952AF" w:rsidP="00A952AF">
            <w:pPr>
              <w:spacing w:after="0" w:line="240" w:lineRule="auto"/>
              <w:rPr>
                <w:rFonts w:ascii="Arial" w:hAnsi="Arial" w:cs="Arial"/>
                <w:i/>
                <w:iCs/>
                <w:sz w:val="20"/>
                <w:u w:val="single"/>
              </w:rPr>
            </w:pPr>
            <w:proofErr w:type="spellStart"/>
            <w:r w:rsidRPr="00BC22F7">
              <w:rPr>
                <w:rFonts w:ascii="Arial" w:hAnsi="Arial" w:cs="Arial"/>
                <w:i/>
                <w:iCs/>
                <w:sz w:val="20"/>
                <w:u w:val="single"/>
              </w:rPr>
              <w:t>s.d</w:t>
            </w:r>
            <w:proofErr w:type="spellEnd"/>
            <w:r w:rsidRPr="00BC22F7">
              <w:rPr>
                <w:rFonts w:ascii="Arial" w:hAnsi="Arial" w:cs="Arial"/>
                <w:i/>
                <w:iCs/>
                <w:sz w:val="20"/>
                <w:u w:val="single"/>
              </w:rPr>
              <w:t>.</w:t>
            </w:r>
          </w:p>
        </w:tc>
        <w:tc>
          <w:tcPr>
            <w:tcW w:w="1008" w:type="dxa"/>
          </w:tcPr>
          <w:p w:rsidR="00A952AF" w:rsidRPr="00BC22F7" w:rsidRDefault="00A952AF" w:rsidP="006A5C4E">
            <w:pPr>
              <w:spacing w:after="0" w:line="240" w:lineRule="auto"/>
              <w:jc w:val="center"/>
              <w:rPr>
                <w:rFonts w:ascii="Arial" w:hAnsi="Arial" w:cs="Arial"/>
                <w:i/>
                <w:sz w:val="20"/>
                <w:u w:val="single"/>
              </w:rPr>
            </w:pPr>
            <w:r w:rsidRPr="00BC22F7">
              <w:rPr>
                <w:rFonts w:ascii="Arial" w:hAnsi="Arial" w:cs="Arial"/>
                <w:i/>
                <w:sz w:val="20"/>
                <w:u w:val="single"/>
              </w:rPr>
              <w:t>Mean</w:t>
            </w:r>
          </w:p>
        </w:tc>
        <w:tc>
          <w:tcPr>
            <w:tcW w:w="1008" w:type="dxa"/>
          </w:tcPr>
          <w:p w:rsidR="00A952AF" w:rsidRPr="00BC22F7" w:rsidRDefault="00A952AF" w:rsidP="00A952AF">
            <w:pPr>
              <w:spacing w:after="0" w:line="240" w:lineRule="auto"/>
              <w:rPr>
                <w:rFonts w:ascii="Arial" w:hAnsi="Arial" w:cs="Arial"/>
                <w:i/>
                <w:iCs/>
                <w:sz w:val="20"/>
                <w:u w:val="single"/>
              </w:rPr>
            </w:pPr>
            <w:proofErr w:type="spellStart"/>
            <w:r w:rsidRPr="00BC22F7">
              <w:rPr>
                <w:rFonts w:ascii="Arial" w:hAnsi="Arial" w:cs="Arial"/>
                <w:i/>
                <w:iCs/>
                <w:sz w:val="20"/>
                <w:u w:val="single"/>
              </w:rPr>
              <w:t>s.d</w:t>
            </w:r>
            <w:proofErr w:type="spellEnd"/>
            <w:r w:rsidRPr="00BC22F7">
              <w:rPr>
                <w:rFonts w:ascii="Arial" w:hAnsi="Arial" w:cs="Arial"/>
                <w:i/>
                <w:iCs/>
                <w:sz w:val="20"/>
                <w:u w:val="single"/>
              </w:rPr>
              <w:t>.</w:t>
            </w:r>
          </w:p>
        </w:tc>
        <w:tc>
          <w:tcPr>
            <w:tcW w:w="1008" w:type="dxa"/>
          </w:tcPr>
          <w:p w:rsidR="00A952AF" w:rsidRPr="00BC22F7" w:rsidRDefault="00A952AF" w:rsidP="006A5C4E">
            <w:pPr>
              <w:spacing w:after="0" w:line="240" w:lineRule="auto"/>
              <w:jc w:val="center"/>
              <w:rPr>
                <w:rFonts w:ascii="Arial" w:hAnsi="Arial" w:cs="Arial"/>
                <w:i/>
                <w:sz w:val="20"/>
                <w:u w:val="single"/>
              </w:rPr>
            </w:pPr>
            <w:r w:rsidRPr="00BC22F7">
              <w:rPr>
                <w:rFonts w:ascii="Arial" w:hAnsi="Arial" w:cs="Arial"/>
                <w:i/>
                <w:sz w:val="20"/>
                <w:u w:val="single"/>
              </w:rPr>
              <w:t>Mean</w:t>
            </w:r>
          </w:p>
        </w:tc>
        <w:tc>
          <w:tcPr>
            <w:tcW w:w="1008" w:type="dxa"/>
          </w:tcPr>
          <w:p w:rsidR="00A952AF" w:rsidRPr="00BC22F7" w:rsidRDefault="00A952AF" w:rsidP="006A5C4E">
            <w:pPr>
              <w:spacing w:after="0" w:line="240" w:lineRule="auto"/>
              <w:jc w:val="center"/>
              <w:rPr>
                <w:rFonts w:ascii="Arial" w:hAnsi="Arial" w:cs="Arial"/>
                <w:i/>
                <w:iCs/>
                <w:sz w:val="20"/>
                <w:u w:val="single"/>
              </w:rPr>
            </w:pPr>
            <w:proofErr w:type="spellStart"/>
            <w:r w:rsidRPr="00BC22F7">
              <w:rPr>
                <w:rFonts w:ascii="Arial" w:hAnsi="Arial" w:cs="Arial"/>
                <w:i/>
                <w:iCs/>
                <w:sz w:val="20"/>
                <w:u w:val="single"/>
              </w:rPr>
              <w:t>s.d</w:t>
            </w:r>
            <w:proofErr w:type="spellEnd"/>
            <w:r w:rsidRPr="00BC22F7">
              <w:rPr>
                <w:rFonts w:ascii="Arial" w:hAnsi="Arial" w:cs="Arial"/>
                <w:i/>
                <w:iCs/>
                <w:sz w:val="20"/>
                <w:u w:val="single"/>
              </w:rPr>
              <w:t>.</w:t>
            </w:r>
          </w:p>
        </w:tc>
        <w:tc>
          <w:tcPr>
            <w:tcW w:w="1008" w:type="dxa"/>
          </w:tcPr>
          <w:p w:rsidR="00A952AF" w:rsidRPr="00BC22F7" w:rsidRDefault="00A952AF" w:rsidP="008A213F">
            <w:pPr>
              <w:spacing w:after="0" w:line="240" w:lineRule="auto"/>
              <w:jc w:val="center"/>
              <w:rPr>
                <w:rFonts w:ascii="Arial" w:hAnsi="Arial" w:cs="Arial"/>
                <w:i/>
                <w:iCs/>
                <w:sz w:val="20"/>
                <w:u w:val="single"/>
              </w:rPr>
            </w:pPr>
            <w:r w:rsidRPr="00BC22F7">
              <w:rPr>
                <w:rFonts w:ascii="Arial" w:hAnsi="Arial" w:cs="Arial"/>
                <w:i/>
                <w:iCs/>
                <w:sz w:val="20"/>
                <w:u w:val="single"/>
              </w:rPr>
              <w:t>Mean</w:t>
            </w:r>
          </w:p>
        </w:tc>
        <w:tc>
          <w:tcPr>
            <w:tcW w:w="1008" w:type="dxa"/>
          </w:tcPr>
          <w:p w:rsidR="00A952AF" w:rsidRPr="00BC22F7" w:rsidRDefault="008A213F" w:rsidP="008A213F">
            <w:pPr>
              <w:spacing w:after="0" w:line="240" w:lineRule="auto"/>
              <w:rPr>
                <w:rFonts w:ascii="Arial" w:hAnsi="Arial" w:cs="Arial"/>
                <w:i/>
                <w:iCs/>
                <w:sz w:val="20"/>
                <w:u w:val="single"/>
              </w:rPr>
            </w:pPr>
            <w:r w:rsidRPr="00BC22F7">
              <w:rPr>
                <w:rFonts w:ascii="Arial" w:hAnsi="Arial" w:cs="Arial"/>
                <w:i/>
                <w:iCs/>
                <w:sz w:val="20"/>
              </w:rPr>
              <w:t xml:space="preserve">  </w:t>
            </w:r>
            <w:proofErr w:type="spellStart"/>
            <w:r w:rsidR="00A952AF" w:rsidRPr="00BC22F7">
              <w:rPr>
                <w:rFonts w:ascii="Arial" w:hAnsi="Arial" w:cs="Arial"/>
                <w:i/>
                <w:iCs/>
                <w:sz w:val="20"/>
                <w:u w:val="single"/>
              </w:rPr>
              <w:t>s.d</w:t>
            </w:r>
            <w:proofErr w:type="spellEnd"/>
          </w:p>
        </w:tc>
        <w:tc>
          <w:tcPr>
            <w:tcW w:w="1008" w:type="dxa"/>
          </w:tcPr>
          <w:p w:rsidR="00A952AF" w:rsidRPr="00BC22F7" w:rsidRDefault="00A952AF" w:rsidP="008A213F">
            <w:pPr>
              <w:spacing w:after="0" w:line="240" w:lineRule="auto"/>
              <w:rPr>
                <w:rFonts w:ascii="Arial" w:hAnsi="Arial" w:cs="Arial"/>
                <w:i/>
                <w:iCs/>
                <w:sz w:val="20"/>
                <w:u w:val="single"/>
              </w:rPr>
            </w:pPr>
            <w:r w:rsidRPr="00BC22F7">
              <w:rPr>
                <w:rFonts w:ascii="Arial" w:hAnsi="Arial" w:cs="Arial"/>
                <w:i/>
                <w:iCs/>
                <w:sz w:val="20"/>
                <w:u w:val="single"/>
              </w:rPr>
              <w:t>Mean</w:t>
            </w:r>
          </w:p>
        </w:tc>
        <w:tc>
          <w:tcPr>
            <w:tcW w:w="1008" w:type="dxa"/>
          </w:tcPr>
          <w:p w:rsidR="00A952AF" w:rsidRPr="00BC22F7" w:rsidRDefault="00A952AF" w:rsidP="008A213F">
            <w:pPr>
              <w:spacing w:after="0" w:line="240" w:lineRule="auto"/>
              <w:rPr>
                <w:rFonts w:ascii="Arial" w:hAnsi="Arial" w:cs="Arial"/>
                <w:i/>
                <w:iCs/>
                <w:sz w:val="20"/>
                <w:u w:val="single"/>
              </w:rPr>
            </w:pPr>
            <w:proofErr w:type="spellStart"/>
            <w:r w:rsidRPr="00BC22F7">
              <w:rPr>
                <w:rFonts w:ascii="Arial" w:hAnsi="Arial" w:cs="Arial"/>
                <w:i/>
                <w:iCs/>
                <w:sz w:val="20"/>
                <w:u w:val="single"/>
              </w:rPr>
              <w:t>s.d</w:t>
            </w:r>
            <w:proofErr w:type="spellEnd"/>
            <w:r w:rsidRPr="00BC22F7">
              <w:rPr>
                <w:rFonts w:ascii="Arial" w:hAnsi="Arial" w:cs="Arial"/>
                <w:i/>
                <w:iCs/>
                <w:sz w:val="20"/>
                <w:u w:val="single"/>
              </w:rPr>
              <w:t>.</w:t>
            </w:r>
          </w:p>
        </w:tc>
      </w:tr>
      <w:tr w:rsidR="00A952AF" w:rsidRPr="00BC22F7" w:rsidTr="001A5CA9">
        <w:tc>
          <w:tcPr>
            <w:tcW w:w="1800" w:type="dxa"/>
          </w:tcPr>
          <w:p w:rsidR="00A952AF" w:rsidRPr="00BC22F7" w:rsidRDefault="00A952AF" w:rsidP="006A5C4E">
            <w:pPr>
              <w:spacing w:after="0" w:line="240" w:lineRule="auto"/>
              <w:rPr>
                <w:rFonts w:ascii="Arial" w:hAnsi="Arial" w:cs="Arial"/>
                <w:sz w:val="20"/>
                <w:u w:val="single"/>
              </w:rPr>
            </w:pPr>
            <w:r w:rsidRPr="00BC22F7">
              <w:rPr>
                <w:rFonts w:ascii="Arial" w:hAnsi="Arial" w:cs="Arial"/>
                <w:sz w:val="20"/>
                <w:u w:val="single"/>
              </w:rPr>
              <w:t>Gender</w:t>
            </w: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r>
      <w:tr w:rsidR="00A952AF" w:rsidRPr="00BC22F7" w:rsidTr="001A5CA9">
        <w:tc>
          <w:tcPr>
            <w:tcW w:w="1800" w:type="dxa"/>
          </w:tcPr>
          <w:p w:rsidR="00A952AF" w:rsidRPr="00BC22F7" w:rsidRDefault="00A952AF" w:rsidP="006A5C4E">
            <w:pPr>
              <w:spacing w:after="0" w:line="240" w:lineRule="auto"/>
              <w:rPr>
                <w:rFonts w:ascii="Arial" w:hAnsi="Arial" w:cs="Arial"/>
                <w:sz w:val="20"/>
              </w:rPr>
            </w:pPr>
            <w:r w:rsidRPr="00BC22F7">
              <w:rPr>
                <w:rFonts w:ascii="Arial" w:hAnsi="Arial" w:cs="Arial"/>
                <w:sz w:val="20"/>
              </w:rPr>
              <w:t xml:space="preserve">  Male </w:t>
            </w:r>
          </w:p>
        </w:tc>
        <w:tc>
          <w:tcPr>
            <w:tcW w:w="1008" w:type="dxa"/>
          </w:tcPr>
          <w:p w:rsidR="00A952AF" w:rsidRPr="00BC22F7" w:rsidRDefault="008A213F" w:rsidP="006A5C4E">
            <w:pPr>
              <w:spacing w:after="0" w:line="240" w:lineRule="auto"/>
              <w:jc w:val="center"/>
              <w:rPr>
                <w:rFonts w:ascii="Arial" w:hAnsi="Arial" w:cs="Arial"/>
                <w:sz w:val="20"/>
              </w:rPr>
            </w:pPr>
            <w:r w:rsidRPr="00BC22F7">
              <w:rPr>
                <w:rFonts w:ascii="Arial" w:hAnsi="Arial" w:cs="Arial"/>
                <w:sz w:val="20"/>
              </w:rPr>
              <w:t>3.28</w:t>
            </w:r>
            <w:r w:rsidR="00A952AF" w:rsidRPr="00BC22F7">
              <w:rPr>
                <w:rFonts w:ascii="Arial" w:hAnsi="Arial" w:cs="Arial"/>
                <w:sz w:val="20"/>
              </w:rPr>
              <w:t>**</w:t>
            </w:r>
            <w:r w:rsidR="00256443" w:rsidRPr="00BC22F7">
              <w:rPr>
                <w:rFonts w:ascii="Arial" w:hAnsi="Arial" w:cs="Arial"/>
                <w:sz w:val="20"/>
              </w:rPr>
              <w:t>*</w:t>
            </w:r>
          </w:p>
        </w:tc>
        <w:tc>
          <w:tcPr>
            <w:tcW w:w="1008" w:type="dxa"/>
          </w:tcPr>
          <w:p w:rsidR="00A952AF" w:rsidRPr="00BC22F7" w:rsidRDefault="007019AD" w:rsidP="006A5C4E">
            <w:pPr>
              <w:spacing w:after="0" w:line="240" w:lineRule="auto"/>
              <w:rPr>
                <w:rFonts w:ascii="Arial" w:hAnsi="Arial" w:cs="Arial"/>
                <w:sz w:val="20"/>
              </w:rPr>
            </w:pPr>
            <w:r w:rsidRPr="00BC22F7">
              <w:rPr>
                <w:rFonts w:ascii="Arial" w:hAnsi="Arial" w:cs="Arial"/>
                <w:sz w:val="20"/>
              </w:rPr>
              <w:t>.75</w:t>
            </w:r>
          </w:p>
        </w:tc>
        <w:tc>
          <w:tcPr>
            <w:tcW w:w="1008" w:type="dxa"/>
          </w:tcPr>
          <w:p w:rsidR="00A952AF" w:rsidRPr="00BC22F7" w:rsidRDefault="008A213F" w:rsidP="006A5C4E">
            <w:pPr>
              <w:spacing w:after="0" w:line="240" w:lineRule="auto"/>
              <w:jc w:val="center"/>
              <w:rPr>
                <w:rFonts w:ascii="Arial" w:hAnsi="Arial" w:cs="Arial"/>
                <w:sz w:val="20"/>
              </w:rPr>
            </w:pPr>
            <w:r w:rsidRPr="00BC22F7">
              <w:rPr>
                <w:rFonts w:ascii="Arial" w:hAnsi="Arial" w:cs="Arial"/>
                <w:sz w:val="20"/>
              </w:rPr>
              <w:t>3.06</w:t>
            </w:r>
            <w:r w:rsidR="00A952AF" w:rsidRPr="00BC22F7">
              <w:rPr>
                <w:rFonts w:ascii="Arial" w:hAnsi="Arial" w:cs="Arial"/>
                <w:sz w:val="20"/>
              </w:rPr>
              <w:t>***</w:t>
            </w:r>
          </w:p>
        </w:tc>
        <w:tc>
          <w:tcPr>
            <w:tcW w:w="1008" w:type="dxa"/>
          </w:tcPr>
          <w:p w:rsidR="00A952AF" w:rsidRPr="00BC22F7" w:rsidRDefault="007019AD" w:rsidP="006A5C4E">
            <w:pPr>
              <w:spacing w:after="0" w:line="240" w:lineRule="auto"/>
              <w:rPr>
                <w:rFonts w:ascii="Arial" w:hAnsi="Arial" w:cs="Arial"/>
                <w:sz w:val="20"/>
              </w:rPr>
            </w:pPr>
            <w:r w:rsidRPr="00BC22F7">
              <w:rPr>
                <w:rFonts w:ascii="Arial" w:hAnsi="Arial" w:cs="Arial"/>
                <w:sz w:val="20"/>
              </w:rPr>
              <w:t>.87</w:t>
            </w:r>
          </w:p>
        </w:tc>
        <w:tc>
          <w:tcPr>
            <w:tcW w:w="1008" w:type="dxa"/>
          </w:tcPr>
          <w:p w:rsidR="00A952AF" w:rsidRPr="00BC22F7" w:rsidRDefault="0010579C" w:rsidP="006A5C4E">
            <w:pPr>
              <w:spacing w:after="0" w:line="240" w:lineRule="auto"/>
              <w:rPr>
                <w:rFonts w:ascii="Arial" w:hAnsi="Arial" w:cs="Arial"/>
                <w:sz w:val="20"/>
              </w:rPr>
            </w:pPr>
            <w:r w:rsidRPr="00BC22F7">
              <w:rPr>
                <w:rFonts w:ascii="Arial" w:hAnsi="Arial" w:cs="Arial"/>
                <w:sz w:val="20"/>
              </w:rPr>
              <w:t xml:space="preserve">  </w:t>
            </w:r>
            <w:r w:rsidR="008A213F" w:rsidRPr="00BC22F7">
              <w:rPr>
                <w:rFonts w:ascii="Arial" w:hAnsi="Arial" w:cs="Arial"/>
                <w:sz w:val="20"/>
              </w:rPr>
              <w:t>3.19</w:t>
            </w:r>
            <w:r w:rsidR="00A952AF" w:rsidRPr="00BC22F7">
              <w:rPr>
                <w:rFonts w:ascii="Arial" w:hAnsi="Arial" w:cs="Arial"/>
                <w:sz w:val="20"/>
              </w:rPr>
              <w:t>***</w:t>
            </w:r>
          </w:p>
        </w:tc>
        <w:tc>
          <w:tcPr>
            <w:tcW w:w="1008" w:type="dxa"/>
          </w:tcPr>
          <w:p w:rsidR="00A952AF" w:rsidRPr="00BC22F7" w:rsidRDefault="007019AD" w:rsidP="006A5C4E">
            <w:pPr>
              <w:spacing w:after="0" w:line="240" w:lineRule="auto"/>
              <w:rPr>
                <w:rFonts w:ascii="Arial" w:hAnsi="Arial" w:cs="Arial"/>
                <w:sz w:val="20"/>
              </w:rPr>
            </w:pPr>
            <w:r w:rsidRPr="00BC22F7">
              <w:rPr>
                <w:rFonts w:ascii="Arial" w:hAnsi="Arial" w:cs="Arial"/>
                <w:sz w:val="20"/>
              </w:rPr>
              <w:t>.77</w:t>
            </w:r>
          </w:p>
        </w:tc>
        <w:tc>
          <w:tcPr>
            <w:tcW w:w="1008" w:type="dxa"/>
          </w:tcPr>
          <w:p w:rsidR="00A952AF" w:rsidRPr="00BC22F7" w:rsidRDefault="0010579C" w:rsidP="0010579C">
            <w:pPr>
              <w:spacing w:after="0" w:line="240" w:lineRule="auto"/>
              <w:rPr>
                <w:rFonts w:ascii="Arial" w:hAnsi="Arial" w:cs="Arial"/>
                <w:sz w:val="20"/>
              </w:rPr>
            </w:pPr>
            <w:r w:rsidRPr="00BC22F7">
              <w:rPr>
                <w:rFonts w:ascii="Arial" w:hAnsi="Arial" w:cs="Arial"/>
                <w:sz w:val="20"/>
              </w:rPr>
              <w:t xml:space="preserve"> </w:t>
            </w:r>
            <w:r w:rsidR="00B82508" w:rsidRPr="00BC22F7">
              <w:rPr>
                <w:rFonts w:ascii="Arial" w:hAnsi="Arial" w:cs="Arial"/>
                <w:sz w:val="20"/>
              </w:rPr>
              <w:t xml:space="preserve"> </w:t>
            </w:r>
            <w:r w:rsidR="008A213F" w:rsidRPr="00BC22F7">
              <w:rPr>
                <w:rFonts w:ascii="Arial" w:hAnsi="Arial" w:cs="Arial"/>
                <w:sz w:val="20"/>
              </w:rPr>
              <w:t>2.97</w:t>
            </w:r>
            <w:r w:rsidR="00A952AF" w:rsidRPr="00BC22F7">
              <w:rPr>
                <w:rFonts w:ascii="Arial" w:hAnsi="Arial" w:cs="Arial"/>
                <w:sz w:val="20"/>
              </w:rPr>
              <w:t>***</w:t>
            </w:r>
          </w:p>
        </w:tc>
        <w:tc>
          <w:tcPr>
            <w:tcW w:w="1008" w:type="dxa"/>
          </w:tcPr>
          <w:p w:rsidR="00A952AF" w:rsidRPr="00BC22F7" w:rsidRDefault="007019AD" w:rsidP="006A5C4E">
            <w:pPr>
              <w:spacing w:after="0" w:line="240" w:lineRule="auto"/>
              <w:jc w:val="center"/>
              <w:rPr>
                <w:rFonts w:ascii="Arial" w:hAnsi="Arial" w:cs="Arial"/>
                <w:sz w:val="20"/>
              </w:rPr>
            </w:pPr>
            <w:r w:rsidRPr="00BC22F7">
              <w:rPr>
                <w:rFonts w:ascii="Arial" w:hAnsi="Arial" w:cs="Arial"/>
                <w:sz w:val="20"/>
              </w:rPr>
              <w:t>.96</w:t>
            </w:r>
          </w:p>
        </w:tc>
        <w:tc>
          <w:tcPr>
            <w:tcW w:w="1008" w:type="dxa"/>
          </w:tcPr>
          <w:p w:rsidR="00A952AF" w:rsidRPr="00BC22F7" w:rsidRDefault="0010579C" w:rsidP="0010579C">
            <w:pPr>
              <w:spacing w:after="0" w:line="240" w:lineRule="auto"/>
              <w:rPr>
                <w:rFonts w:ascii="Arial" w:hAnsi="Arial" w:cs="Arial"/>
                <w:sz w:val="20"/>
              </w:rPr>
            </w:pPr>
            <w:r w:rsidRPr="00BC22F7">
              <w:rPr>
                <w:rFonts w:ascii="Arial" w:hAnsi="Arial" w:cs="Arial"/>
                <w:sz w:val="20"/>
              </w:rPr>
              <w:t xml:space="preserve">  </w:t>
            </w:r>
            <w:r w:rsidR="008A213F" w:rsidRPr="00BC22F7">
              <w:rPr>
                <w:rFonts w:ascii="Arial" w:hAnsi="Arial" w:cs="Arial"/>
                <w:sz w:val="20"/>
              </w:rPr>
              <w:t>2.91</w:t>
            </w:r>
          </w:p>
        </w:tc>
        <w:tc>
          <w:tcPr>
            <w:tcW w:w="1008" w:type="dxa"/>
          </w:tcPr>
          <w:p w:rsidR="00A952AF" w:rsidRPr="00BC22F7" w:rsidRDefault="00B82508" w:rsidP="00B82508">
            <w:pPr>
              <w:spacing w:after="0" w:line="240" w:lineRule="auto"/>
              <w:rPr>
                <w:rFonts w:ascii="Arial" w:hAnsi="Arial" w:cs="Arial"/>
                <w:sz w:val="20"/>
              </w:rPr>
            </w:pPr>
            <w:r w:rsidRPr="00BC22F7">
              <w:rPr>
                <w:rFonts w:ascii="Arial" w:hAnsi="Arial" w:cs="Arial"/>
                <w:sz w:val="20"/>
              </w:rPr>
              <w:t xml:space="preserve">  </w:t>
            </w:r>
            <w:r w:rsidR="007019AD" w:rsidRPr="00BC22F7">
              <w:rPr>
                <w:rFonts w:ascii="Arial" w:hAnsi="Arial" w:cs="Arial"/>
                <w:sz w:val="20"/>
              </w:rPr>
              <w:t>.81</w:t>
            </w:r>
          </w:p>
        </w:tc>
        <w:tc>
          <w:tcPr>
            <w:tcW w:w="1008" w:type="dxa"/>
          </w:tcPr>
          <w:p w:rsidR="00A952AF" w:rsidRPr="00BC22F7" w:rsidRDefault="008A213F" w:rsidP="008A213F">
            <w:pPr>
              <w:spacing w:after="0" w:line="240" w:lineRule="auto"/>
              <w:rPr>
                <w:rFonts w:ascii="Arial" w:hAnsi="Arial" w:cs="Arial"/>
                <w:sz w:val="20"/>
              </w:rPr>
            </w:pPr>
            <w:r w:rsidRPr="00BC22F7">
              <w:rPr>
                <w:rFonts w:ascii="Arial" w:hAnsi="Arial" w:cs="Arial"/>
                <w:sz w:val="20"/>
              </w:rPr>
              <w:t>3.24</w:t>
            </w:r>
          </w:p>
        </w:tc>
        <w:tc>
          <w:tcPr>
            <w:tcW w:w="1008" w:type="dxa"/>
          </w:tcPr>
          <w:p w:rsidR="00A952AF" w:rsidRPr="00BC22F7" w:rsidRDefault="007019AD" w:rsidP="008A213F">
            <w:pPr>
              <w:spacing w:after="0" w:line="240" w:lineRule="auto"/>
              <w:rPr>
                <w:rFonts w:ascii="Arial" w:hAnsi="Arial" w:cs="Arial"/>
                <w:sz w:val="20"/>
              </w:rPr>
            </w:pPr>
            <w:r w:rsidRPr="00BC22F7">
              <w:rPr>
                <w:rFonts w:ascii="Arial" w:hAnsi="Arial" w:cs="Arial"/>
                <w:sz w:val="20"/>
              </w:rPr>
              <w:t>.72</w:t>
            </w:r>
          </w:p>
        </w:tc>
      </w:tr>
      <w:tr w:rsidR="00A952AF" w:rsidRPr="00BC22F7" w:rsidTr="001A5CA9">
        <w:tc>
          <w:tcPr>
            <w:tcW w:w="1800" w:type="dxa"/>
          </w:tcPr>
          <w:p w:rsidR="00A952AF" w:rsidRPr="00BC22F7" w:rsidRDefault="00A952AF" w:rsidP="006A5C4E">
            <w:pPr>
              <w:spacing w:after="0" w:line="240" w:lineRule="auto"/>
              <w:rPr>
                <w:rFonts w:ascii="Arial" w:hAnsi="Arial" w:cs="Arial"/>
                <w:sz w:val="20"/>
              </w:rPr>
            </w:pPr>
            <w:r w:rsidRPr="00BC22F7">
              <w:rPr>
                <w:rFonts w:ascii="Arial" w:hAnsi="Arial" w:cs="Arial"/>
                <w:sz w:val="20"/>
              </w:rPr>
              <w:t xml:space="preserve">  Female</w:t>
            </w:r>
          </w:p>
        </w:tc>
        <w:tc>
          <w:tcPr>
            <w:tcW w:w="1008" w:type="dxa"/>
          </w:tcPr>
          <w:p w:rsidR="00A952AF" w:rsidRPr="00BC22F7" w:rsidRDefault="008A213F" w:rsidP="006A5C4E">
            <w:pPr>
              <w:spacing w:after="0" w:line="240" w:lineRule="auto"/>
              <w:jc w:val="center"/>
              <w:rPr>
                <w:rFonts w:ascii="Arial" w:hAnsi="Arial" w:cs="Arial"/>
                <w:sz w:val="20"/>
              </w:rPr>
            </w:pPr>
            <w:r w:rsidRPr="00BC22F7">
              <w:rPr>
                <w:rFonts w:ascii="Arial" w:hAnsi="Arial" w:cs="Arial"/>
                <w:sz w:val="20"/>
              </w:rPr>
              <w:t>3.52</w:t>
            </w:r>
            <w:r w:rsidR="00A952AF" w:rsidRPr="00BC22F7">
              <w:rPr>
                <w:rFonts w:ascii="Arial" w:hAnsi="Arial" w:cs="Arial"/>
                <w:sz w:val="20"/>
              </w:rPr>
              <w:t>**</w:t>
            </w:r>
            <w:r w:rsidR="00256443" w:rsidRPr="00BC22F7">
              <w:rPr>
                <w:rFonts w:ascii="Arial" w:hAnsi="Arial" w:cs="Arial"/>
                <w:sz w:val="20"/>
              </w:rPr>
              <w:t>*</w:t>
            </w:r>
          </w:p>
        </w:tc>
        <w:tc>
          <w:tcPr>
            <w:tcW w:w="1008" w:type="dxa"/>
          </w:tcPr>
          <w:p w:rsidR="00A952AF" w:rsidRPr="00BC22F7" w:rsidRDefault="007019AD" w:rsidP="006A5C4E">
            <w:pPr>
              <w:spacing w:after="0" w:line="240" w:lineRule="auto"/>
              <w:rPr>
                <w:rFonts w:ascii="Arial" w:hAnsi="Arial" w:cs="Arial"/>
                <w:sz w:val="20"/>
              </w:rPr>
            </w:pPr>
            <w:r w:rsidRPr="00BC22F7">
              <w:rPr>
                <w:rFonts w:ascii="Arial" w:hAnsi="Arial" w:cs="Arial"/>
                <w:sz w:val="20"/>
              </w:rPr>
              <w:t>.64</w:t>
            </w:r>
          </w:p>
        </w:tc>
        <w:tc>
          <w:tcPr>
            <w:tcW w:w="1008" w:type="dxa"/>
          </w:tcPr>
          <w:p w:rsidR="00A952AF" w:rsidRPr="00BC22F7" w:rsidRDefault="008A213F" w:rsidP="006A5C4E">
            <w:pPr>
              <w:spacing w:after="0" w:line="240" w:lineRule="auto"/>
              <w:jc w:val="center"/>
              <w:rPr>
                <w:rFonts w:ascii="Arial" w:hAnsi="Arial" w:cs="Arial"/>
                <w:sz w:val="20"/>
              </w:rPr>
            </w:pPr>
            <w:r w:rsidRPr="00BC22F7">
              <w:rPr>
                <w:rFonts w:ascii="Arial" w:hAnsi="Arial" w:cs="Arial"/>
                <w:sz w:val="20"/>
              </w:rPr>
              <w:t>3.35</w:t>
            </w:r>
            <w:r w:rsidR="00A952AF" w:rsidRPr="00BC22F7">
              <w:rPr>
                <w:rFonts w:ascii="Arial" w:hAnsi="Arial" w:cs="Arial"/>
                <w:sz w:val="20"/>
              </w:rPr>
              <w:t>***</w:t>
            </w:r>
          </w:p>
        </w:tc>
        <w:tc>
          <w:tcPr>
            <w:tcW w:w="1008" w:type="dxa"/>
          </w:tcPr>
          <w:p w:rsidR="00A952AF" w:rsidRPr="00BC22F7" w:rsidRDefault="007019AD" w:rsidP="006A5C4E">
            <w:pPr>
              <w:spacing w:after="0" w:line="240" w:lineRule="auto"/>
              <w:rPr>
                <w:rFonts w:ascii="Arial" w:hAnsi="Arial" w:cs="Arial"/>
                <w:sz w:val="20"/>
              </w:rPr>
            </w:pPr>
            <w:r w:rsidRPr="00BC22F7">
              <w:rPr>
                <w:rFonts w:ascii="Arial" w:hAnsi="Arial" w:cs="Arial"/>
                <w:sz w:val="20"/>
              </w:rPr>
              <w:t>.74</w:t>
            </w:r>
          </w:p>
        </w:tc>
        <w:tc>
          <w:tcPr>
            <w:tcW w:w="1008" w:type="dxa"/>
          </w:tcPr>
          <w:p w:rsidR="00A952AF" w:rsidRPr="00BC22F7" w:rsidRDefault="0010579C" w:rsidP="006A5C4E">
            <w:pPr>
              <w:spacing w:after="0" w:line="240" w:lineRule="auto"/>
              <w:rPr>
                <w:rFonts w:ascii="Arial" w:hAnsi="Arial" w:cs="Arial"/>
                <w:sz w:val="20"/>
              </w:rPr>
            </w:pPr>
            <w:r w:rsidRPr="00BC22F7">
              <w:rPr>
                <w:rFonts w:ascii="Arial" w:hAnsi="Arial" w:cs="Arial"/>
                <w:sz w:val="20"/>
              </w:rPr>
              <w:t xml:space="preserve">  </w:t>
            </w:r>
            <w:r w:rsidR="008A213F" w:rsidRPr="00BC22F7">
              <w:rPr>
                <w:rFonts w:ascii="Arial" w:hAnsi="Arial" w:cs="Arial"/>
                <w:sz w:val="20"/>
              </w:rPr>
              <w:t>3.46</w:t>
            </w:r>
            <w:r w:rsidR="00A952AF" w:rsidRPr="00BC22F7">
              <w:rPr>
                <w:rFonts w:ascii="Arial" w:hAnsi="Arial" w:cs="Arial"/>
                <w:sz w:val="20"/>
              </w:rPr>
              <w:t>***</w:t>
            </w:r>
          </w:p>
        </w:tc>
        <w:tc>
          <w:tcPr>
            <w:tcW w:w="1008" w:type="dxa"/>
          </w:tcPr>
          <w:p w:rsidR="00A952AF" w:rsidRPr="00BC22F7" w:rsidRDefault="007019AD" w:rsidP="006A5C4E">
            <w:pPr>
              <w:spacing w:after="0" w:line="240" w:lineRule="auto"/>
              <w:rPr>
                <w:rFonts w:ascii="Arial" w:hAnsi="Arial" w:cs="Arial"/>
                <w:sz w:val="20"/>
              </w:rPr>
            </w:pPr>
            <w:r w:rsidRPr="00BC22F7">
              <w:rPr>
                <w:rFonts w:ascii="Arial" w:hAnsi="Arial" w:cs="Arial"/>
                <w:sz w:val="20"/>
              </w:rPr>
              <w:t>.68</w:t>
            </w:r>
          </w:p>
        </w:tc>
        <w:tc>
          <w:tcPr>
            <w:tcW w:w="1008" w:type="dxa"/>
          </w:tcPr>
          <w:p w:rsidR="00A952AF" w:rsidRPr="00BC22F7" w:rsidRDefault="00B82508" w:rsidP="0010579C">
            <w:pPr>
              <w:spacing w:after="0" w:line="240" w:lineRule="auto"/>
              <w:rPr>
                <w:rFonts w:ascii="Arial" w:hAnsi="Arial" w:cs="Arial"/>
                <w:sz w:val="20"/>
              </w:rPr>
            </w:pPr>
            <w:r w:rsidRPr="00BC22F7">
              <w:rPr>
                <w:rFonts w:ascii="Arial" w:hAnsi="Arial" w:cs="Arial"/>
                <w:sz w:val="20"/>
              </w:rPr>
              <w:t xml:space="preserve"> </w:t>
            </w:r>
            <w:r w:rsidR="0010579C" w:rsidRPr="00BC22F7">
              <w:rPr>
                <w:rFonts w:ascii="Arial" w:hAnsi="Arial" w:cs="Arial"/>
                <w:sz w:val="20"/>
              </w:rPr>
              <w:t xml:space="preserve"> </w:t>
            </w:r>
            <w:r w:rsidR="008A213F" w:rsidRPr="00BC22F7">
              <w:rPr>
                <w:rFonts w:ascii="Arial" w:hAnsi="Arial" w:cs="Arial"/>
                <w:sz w:val="20"/>
              </w:rPr>
              <w:t>3.30</w:t>
            </w:r>
            <w:r w:rsidR="00A952AF" w:rsidRPr="00BC22F7">
              <w:rPr>
                <w:rFonts w:ascii="Arial" w:hAnsi="Arial" w:cs="Arial"/>
                <w:sz w:val="20"/>
              </w:rPr>
              <w:t>***</w:t>
            </w:r>
          </w:p>
        </w:tc>
        <w:tc>
          <w:tcPr>
            <w:tcW w:w="1008" w:type="dxa"/>
          </w:tcPr>
          <w:p w:rsidR="00A952AF" w:rsidRPr="00BC22F7" w:rsidRDefault="007019AD" w:rsidP="006A5C4E">
            <w:pPr>
              <w:spacing w:after="0" w:line="240" w:lineRule="auto"/>
              <w:jc w:val="center"/>
              <w:rPr>
                <w:rFonts w:ascii="Arial" w:hAnsi="Arial" w:cs="Arial"/>
                <w:sz w:val="20"/>
              </w:rPr>
            </w:pPr>
            <w:r w:rsidRPr="00BC22F7">
              <w:rPr>
                <w:rFonts w:ascii="Arial" w:hAnsi="Arial" w:cs="Arial"/>
                <w:sz w:val="20"/>
              </w:rPr>
              <w:t>.86</w:t>
            </w:r>
          </w:p>
        </w:tc>
        <w:tc>
          <w:tcPr>
            <w:tcW w:w="1008" w:type="dxa"/>
          </w:tcPr>
          <w:p w:rsidR="00A952AF" w:rsidRPr="00BC22F7" w:rsidRDefault="0010579C" w:rsidP="0010579C">
            <w:pPr>
              <w:spacing w:after="0" w:line="240" w:lineRule="auto"/>
              <w:rPr>
                <w:rFonts w:ascii="Arial" w:hAnsi="Arial" w:cs="Arial"/>
                <w:sz w:val="20"/>
              </w:rPr>
            </w:pPr>
            <w:r w:rsidRPr="00BC22F7">
              <w:rPr>
                <w:rFonts w:ascii="Arial" w:hAnsi="Arial" w:cs="Arial"/>
                <w:sz w:val="20"/>
              </w:rPr>
              <w:t xml:space="preserve">  </w:t>
            </w:r>
            <w:r w:rsidR="008A213F" w:rsidRPr="00BC22F7">
              <w:rPr>
                <w:rFonts w:ascii="Arial" w:hAnsi="Arial" w:cs="Arial"/>
                <w:sz w:val="20"/>
              </w:rPr>
              <w:t>2.90</w:t>
            </w:r>
          </w:p>
        </w:tc>
        <w:tc>
          <w:tcPr>
            <w:tcW w:w="1008" w:type="dxa"/>
          </w:tcPr>
          <w:p w:rsidR="00A952AF" w:rsidRPr="00BC22F7" w:rsidRDefault="00B82508" w:rsidP="00B82508">
            <w:pPr>
              <w:spacing w:after="0" w:line="240" w:lineRule="auto"/>
              <w:rPr>
                <w:rFonts w:ascii="Arial" w:hAnsi="Arial" w:cs="Arial"/>
                <w:sz w:val="20"/>
              </w:rPr>
            </w:pPr>
            <w:r w:rsidRPr="00BC22F7">
              <w:rPr>
                <w:rFonts w:ascii="Arial" w:hAnsi="Arial" w:cs="Arial"/>
                <w:sz w:val="20"/>
              </w:rPr>
              <w:t xml:space="preserve">  </w:t>
            </w:r>
            <w:r w:rsidR="007019AD" w:rsidRPr="00BC22F7">
              <w:rPr>
                <w:rFonts w:ascii="Arial" w:hAnsi="Arial" w:cs="Arial"/>
                <w:sz w:val="20"/>
              </w:rPr>
              <w:t>.77</w:t>
            </w:r>
          </w:p>
        </w:tc>
        <w:tc>
          <w:tcPr>
            <w:tcW w:w="1008" w:type="dxa"/>
          </w:tcPr>
          <w:p w:rsidR="00A952AF" w:rsidRPr="00BC22F7" w:rsidRDefault="008A213F" w:rsidP="008A213F">
            <w:pPr>
              <w:spacing w:after="0" w:line="240" w:lineRule="auto"/>
              <w:rPr>
                <w:rFonts w:ascii="Arial" w:hAnsi="Arial" w:cs="Arial"/>
                <w:sz w:val="20"/>
              </w:rPr>
            </w:pPr>
            <w:r w:rsidRPr="00BC22F7">
              <w:rPr>
                <w:rFonts w:ascii="Arial" w:hAnsi="Arial" w:cs="Arial"/>
                <w:sz w:val="20"/>
              </w:rPr>
              <w:t>3.22</w:t>
            </w:r>
          </w:p>
        </w:tc>
        <w:tc>
          <w:tcPr>
            <w:tcW w:w="1008" w:type="dxa"/>
          </w:tcPr>
          <w:p w:rsidR="00A952AF" w:rsidRPr="00BC22F7" w:rsidRDefault="007019AD" w:rsidP="008A213F">
            <w:pPr>
              <w:spacing w:after="0" w:line="240" w:lineRule="auto"/>
              <w:rPr>
                <w:rFonts w:ascii="Arial" w:hAnsi="Arial" w:cs="Arial"/>
                <w:sz w:val="20"/>
              </w:rPr>
            </w:pPr>
            <w:r w:rsidRPr="00BC22F7">
              <w:rPr>
                <w:rFonts w:ascii="Arial" w:hAnsi="Arial" w:cs="Arial"/>
                <w:sz w:val="20"/>
              </w:rPr>
              <w:t>.71</w:t>
            </w:r>
          </w:p>
        </w:tc>
      </w:tr>
      <w:tr w:rsidR="00A952AF" w:rsidRPr="00BC22F7" w:rsidTr="001A5CA9">
        <w:tc>
          <w:tcPr>
            <w:tcW w:w="1800" w:type="dxa"/>
          </w:tcPr>
          <w:p w:rsidR="00A952AF" w:rsidRPr="00BC22F7" w:rsidRDefault="00A952AF" w:rsidP="006A5C4E">
            <w:pPr>
              <w:spacing w:after="0" w:line="240" w:lineRule="auto"/>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r>
      <w:tr w:rsidR="00A952AF" w:rsidRPr="00BC22F7" w:rsidTr="001A5CA9">
        <w:tc>
          <w:tcPr>
            <w:tcW w:w="1800" w:type="dxa"/>
          </w:tcPr>
          <w:p w:rsidR="00A952AF" w:rsidRPr="00BC22F7" w:rsidRDefault="001A5CA9" w:rsidP="006A5C4E">
            <w:pPr>
              <w:spacing w:after="0" w:line="240" w:lineRule="auto"/>
              <w:rPr>
                <w:rFonts w:ascii="Arial" w:hAnsi="Arial" w:cs="Arial"/>
                <w:sz w:val="20"/>
                <w:u w:val="single"/>
              </w:rPr>
            </w:pPr>
            <w:r w:rsidRPr="00BC22F7">
              <w:rPr>
                <w:rFonts w:ascii="Arial" w:hAnsi="Arial" w:cs="Arial"/>
                <w:sz w:val="20"/>
                <w:u w:val="single"/>
              </w:rPr>
              <w:t xml:space="preserve">Visible Minority </w:t>
            </w: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r>
      <w:tr w:rsidR="00A952AF" w:rsidRPr="00BC22F7" w:rsidTr="001A5CA9">
        <w:tc>
          <w:tcPr>
            <w:tcW w:w="1800" w:type="dxa"/>
          </w:tcPr>
          <w:p w:rsidR="00A952AF" w:rsidRPr="00BC22F7" w:rsidRDefault="001A5CA9" w:rsidP="006A5C4E">
            <w:pPr>
              <w:spacing w:after="0" w:line="240" w:lineRule="auto"/>
              <w:rPr>
                <w:rFonts w:ascii="Arial" w:hAnsi="Arial" w:cs="Arial"/>
                <w:sz w:val="20"/>
              </w:rPr>
            </w:pPr>
            <w:r w:rsidRPr="00BC22F7">
              <w:rPr>
                <w:rFonts w:ascii="Arial" w:hAnsi="Arial" w:cs="Arial"/>
                <w:sz w:val="20"/>
              </w:rPr>
              <w:t xml:space="preserve">  VM</w:t>
            </w:r>
          </w:p>
        </w:tc>
        <w:tc>
          <w:tcPr>
            <w:tcW w:w="1008" w:type="dxa"/>
          </w:tcPr>
          <w:p w:rsidR="00A952AF" w:rsidRPr="00BC22F7" w:rsidRDefault="008A213F" w:rsidP="006A5C4E">
            <w:pPr>
              <w:spacing w:after="0" w:line="240" w:lineRule="auto"/>
              <w:jc w:val="center"/>
              <w:rPr>
                <w:rFonts w:ascii="Arial" w:hAnsi="Arial" w:cs="Arial"/>
                <w:sz w:val="20"/>
              </w:rPr>
            </w:pPr>
            <w:r w:rsidRPr="00BC22F7">
              <w:rPr>
                <w:rFonts w:ascii="Arial" w:hAnsi="Arial" w:cs="Arial"/>
                <w:sz w:val="20"/>
              </w:rPr>
              <w:t>3.</w:t>
            </w:r>
            <w:r w:rsidR="00256443" w:rsidRPr="00BC22F7">
              <w:rPr>
                <w:rFonts w:ascii="Arial" w:hAnsi="Arial" w:cs="Arial"/>
                <w:sz w:val="20"/>
              </w:rPr>
              <w:t>46**</w:t>
            </w:r>
            <w:r w:rsidR="00A952AF" w:rsidRPr="00BC22F7">
              <w:rPr>
                <w:rFonts w:ascii="Arial" w:hAnsi="Arial" w:cs="Arial"/>
                <w:sz w:val="20"/>
              </w:rPr>
              <w:t>*</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.6</w:t>
            </w:r>
            <w:r w:rsidR="008C1041" w:rsidRPr="00BC22F7">
              <w:rPr>
                <w:rFonts w:ascii="Arial" w:hAnsi="Arial" w:cs="Arial"/>
                <w:sz w:val="20"/>
              </w:rPr>
              <w:t>8</w:t>
            </w:r>
          </w:p>
        </w:tc>
        <w:tc>
          <w:tcPr>
            <w:tcW w:w="1008" w:type="dxa"/>
          </w:tcPr>
          <w:p w:rsidR="00A952AF" w:rsidRPr="00BC22F7" w:rsidRDefault="00256443" w:rsidP="006A5C4E">
            <w:pPr>
              <w:spacing w:after="0" w:line="240" w:lineRule="auto"/>
              <w:jc w:val="center"/>
              <w:rPr>
                <w:rFonts w:ascii="Arial" w:hAnsi="Arial" w:cs="Arial"/>
                <w:sz w:val="20"/>
              </w:rPr>
            </w:pPr>
            <w:r w:rsidRPr="00BC22F7">
              <w:rPr>
                <w:rFonts w:ascii="Arial" w:hAnsi="Arial" w:cs="Arial"/>
                <w:sz w:val="20"/>
              </w:rPr>
              <w:t>3.24</w:t>
            </w:r>
            <w:r w:rsidR="00A952AF" w:rsidRPr="00BC22F7">
              <w:rPr>
                <w:rFonts w:ascii="Arial" w:hAnsi="Arial" w:cs="Arial"/>
                <w:sz w:val="20"/>
              </w:rPr>
              <w:t>*</w:t>
            </w:r>
            <w:r w:rsidRPr="00BC22F7">
              <w:rPr>
                <w:rFonts w:ascii="Arial" w:hAnsi="Arial" w:cs="Arial"/>
                <w:sz w:val="20"/>
              </w:rPr>
              <w:t>**</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w:t>
            </w:r>
            <w:r w:rsidR="008C1041" w:rsidRPr="00BC22F7">
              <w:rPr>
                <w:rFonts w:ascii="Arial" w:hAnsi="Arial" w:cs="Arial"/>
                <w:sz w:val="20"/>
              </w:rPr>
              <w:t>81</w:t>
            </w:r>
          </w:p>
        </w:tc>
        <w:tc>
          <w:tcPr>
            <w:tcW w:w="1008" w:type="dxa"/>
          </w:tcPr>
          <w:p w:rsidR="00A952AF" w:rsidRPr="00BC22F7" w:rsidRDefault="00256443" w:rsidP="006A5C4E">
            <w:pPr>
              <w:spacing w:after="0" w:line="240" w:lineRule="auto"/>
              <w:rPr>
                <w:rFonts w:ascii="Arial" w:hAnsi="Arial" w:cs="Arial"/>
                <w:sz w:val="20"/>
              </w:rPr>
            </w:pPr>
            <w:r w:rsidRPr="00BC22F7">
              <w:rPr>
                <w:rFonts w:ascii="Arial" w:hAnsi="Arial" w:cs="Arial"/>
                <w:sz w:val="20"/>
              </w:rPr>
              <w:t xml:space="preserve">  3.36**</w:t>
            </w:r>
            <w:r w:rsidR="00A952AF" w:rsidRPr="00BC22F7">
              <w:rPr>
                <w:rFonts w:ascii="Arial" w:hAnsi="Arial" w:cs="Arial"/>
                <w:sz w:val="20"/>
              </w:rPr>
              <w:t>*</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.7</w:t>
            </w:r>
            <w:r w:rsidR="008C1041" w:rsidRPr="00BC22F7">
              <w:rPr>
                <w:rFonts w:ascii="Arial" w:hAnsi="Arial" w:cs="Arial"/>
                <w:sz w:val="20"/>
              </w:rPr>
              <w:t>1</w:t>
            </w:r>
          </w:p>
        </w:tc>
        <w:tc>
          <w:tcPr>
            <w:tcW w:w="1008" w:type="dxa"/>
          </w:tcPr>
          <w:p w:rsidR="00A952AF" w:rsidRPr="00BC22F7" w:rsidRDefault="00B82508" w:rsidP="006A5C4E">
            <w:pPr>
              <w:spacing w:after="0" w:line="240" w:lineRule="auto"/>
              <w:jc w:val="center"/>
              <w:rPr>
                <w:rFonts w:ascii="Arial" w:hAnsi="Arial" w:cs="Arial"/>
                <w:sz w:val="20"/>
              </w:rPr>
            </w:pPr>
            <w:r w:rsidRPr="00BC22F7">
              <w:rPr>
                <w:rFonts w:ascii="Arial" w:hAnsi="Arial" w:cs="Arial"/>
                <w:sz w:val="20"/>
              </w:rPr>
              <w:t xml:space="preserve"> </w:t>
            </w:r>
            <w:r w:rsidR="00256443" w:rsidRPr="00BC22F7">
              <w:rPr>
                <w:rFonts w:ascii="Arial" w:hAnsi="Arial" w:cs="Arial"/>
                <w:sz w:val="20"/>
              </w:rPr>
              <w:t>3.38</w:t>
            </w:r>
            <w:r w:rsidR="00A952AF" w:rsidRPr="00BC22F7">
              <w:rPr>
                <w:rFonts w:ascii="Arial" w:hAnsi="Arial" w:cs="Arial"/>
                <w:sz w:val="20"/>
              </w:rPr>
              <w:t>***</w:t>
            </w:r>
          </w:p>
        </w:tc>
        <w:tc>
          <w:tcPr>
            <w:tcW w:w="1008" w:type="dxa"/>
          </w:tcPr>
          <w:p w:rsidR="00A952AF" w:rsidRPr="00BC22F7" w:rsidRDefault="00B82508" w:rsidP="006A5C4E">
            <w:pPr>
              <w:spacing w:after="0" w:line="240" w:lineRule="auto"/>
              <w:jc w:val="center"/>
              <w:rPr>
                <w:rFonts w:ascii="Arial" w:hAnsi="Arial" w:cs="Arial"/>
                <w:sz w:val="20"/>
              </w:rPr>
            </w:pPr>
            <w:r w:rsidRPr="00BC22F7">
              <w:rPr>
                <w:rFonts w:ascii="Arial" w:hAnsi="Arial" w:cs="Arial"/>
                <w:sz w:val="20"/>
              </w:rPr>
              <w:t>.</w:t>
            </w:r>
            <w:r w:rsidR="008C1041" w:rsidRPr="00BC22F7">
              <w:rPr>
                <w:rFonts w:ascii="Arial" w:hAnsi="Arial" w:cs="Arial"/>
                <w:sz w:val="20"/>
              </w:rPr>
              <w:t>82</w:t>
            </w:r>
          </w:p>
        </w:tc>
        <w:tc>
          <w:tcPr>
            <w:tcW w:w="1008" w:type="dxa"/>
          </w:tcPr>
          <w:p w:rsidR="00A952AF" w:rsidRPr="00BC22F7" w:rsidRDefault="00256443" w:rsidP="008A213F">
            <w:pPr>
              <w:spacing w:after="0" w:line="240" w:lineRule="auto"/>
              <w:jc w:val="center"/>
              <w:rPr>
                <w:rFonts w:ascii="Arial" w:hAnsi="Arial" w:cs="Arial"/>
                <w:sz w:val="20"/>
              </w:rPr>
            </w:pPr>
            <w:r w:rsidRPr="00BC22F7">
              <w:rPr>
                <w:rFonts w:ascii="Arial" w:hAnsi="Arial" w:cs="Arial"/>
                <w:sz w:val="20"/>
              </w:rPr>
              <w:t>3.00***</w:t>
            </w:r>
          </w:p>
        </w:tc>
        <w:tc>
          <w:tcPr>
            <w:tcW w:w="1008" w:type="dxa"/>
          </w:tcPr>
          <w:p w:rsidR="00A952AF" w:rsidRPr="00BC22F7" w:rsidRDefault="00B82508" w:rsidP="00B82508">
            <w:pPr>
              <w:spacing w:after="0" w:line="240" w:lineRule="auto"/>
              <w:rPr>
                <w:rFonts w:ascii="Arial" w:hAnsi="Arial" w:cs="Arial"/>
                <w:sz w:val="20"/>
              </w:rPr>
            </w:pPr>
            <w:r w:rsidRPr="00BC22F7">
              <w:rPr>
                <w:rFonts w:ascii="Arial" w:hAnsi="Arial" w:cs="Arial"/>
                <w:sz w:val="20"/>
              </w:rPr>
              <w:t xml:space="preserve">  .</w:t>
            </w:r>
            <w:r w:rsidR="008C1041" w:rsidRPr="00BC22F7">
              <w:rPr>
                <w:rFonts w:ascii="Arial" w:hAnsi="Arial" w:cs="Arial"/>
                <w:sz w:val="20"/>
              </w:rPr>
              <w:t>75</w:t>
            </w:r>
          </w:p>
        </w:tc>
        <w:tc>
          <w:tcPr>
            <w:tcW w:w="1008" w:type="dxa"/>
          </w:tcPr>
          <w:p w:rsidR="00A952AF" w:rsidRPr="00BC22F7" w:rsidRDefault="00256443" w:rsidP="008A213F">
            <w:pPr>
              <w:spacing w:after="0" w:line="240" w:lineRule="auto"/>
              <w:rPr>
                <w:rFonts w:ascii="Arial" w:hAnsi="Arial" w:cs="Arial"/>
                <w:sz w:val="20"/>
              </w:rPr>
            </w:pPr>
            <w:r w:rsidRPr="00BC22F7">
              <w:rPr>
                <w:rFonts w:ascii="Arial" w:hAnsi="Arial" w:cs="Arial"/>
                <w:sz w:val="20"/>
              </w:rPr>
              <w:t>3.32***</w:t>
            </w:r>
          </w:p>
        </w:tc>
        <w:tc>
          <w:tcPr>
            <w:tcW w:w="1008" w:type="dxa"/>
          </w:tcPr>
          <w:p w:rsidR="00A952AF" w:rsidRPr="00BC22F7" w:rsidRDefault="00B82508" w:rsidP="008A213F">
            <w:pPr>
              <w:spacing w:after="0" w:line="240" w:lineRule="auto"/>
              <w:rPr>
                <w:rFonts w:ascii="Arial" w:hAnsi="Arial" w:cs="Arial"/>
                <w:sz w:val="20"/>
              </w:rPr>
            </w:pPr>
            <w:r w:rsidRPr="00BC22F7">
              <w:rPr>
                <w:rFonts w:ascii="Arial" w:hAnsi="Arial" w:cs="Arial"/>
                <w:sz w:val="20"/>
              </w:rPr>
              <w:t>.</w:t>
            </w:r>
            <w:r w:rsidR="008C1041" w:rsidRPr="00BC22F7">
              <w:rPr>
                <w:rFonts w:ascii="Arial" w:hAnsi="Arial" w:cs="Arial"/>
                <w:sz w:val="20"/>
              </w:rPr>
              <w:t>66</w:t>
            </w:r>
          </w:p>
        </w:tc>
      </w:tr>
      <w:tr w:rsidR="00A952AF" w:rsidRPr="00BC22F7" w:rsidTr="001A5CA9">
        <w:tc>
          <w:tcPr>
            <w:tcW w:w="1800" w:type="dxa"/>
          </w:tcPr>
          <w:p w:rsidR="00A952AF" w:rsidRPr="00BC22F7" w:rsidRDefault="001A5CA9" w:rsidP="006A5C4E">
            <w:pPr>
              <w:spacing w:after="0" w:line="240" w:lineRule="auto"/>
              <w:rPr>
                <w:rFonts w:ascii="Arial" w:hAnsi="Arial" w:cs="Arial"/>
                <w:sz w:val="20"/>
              </w:rPr>
            </w:pPr>
            <w:r w:rsidRPr="00BC22F7">
              <w:rPr>
                <w:rFonts w:ascii="Arial" w:hAnsi="Arial" w:cs="Arial"/>
                <w:sz w:val="20"/>
              </w:rPr>
              <w:t xml:space="preserve">  Non-VM</w:t>
            </w:r>
          </w:p>
        </w:tc>
        <w:tc>
          <w:tcPr>
            <w:tcW w:w="1008" w:type="dxa"/>
          </w:tcPr>
          <w:p w:rsidR="00A952AF" w:rsidRPr="00BC22F7" w:rsidRDefault="00256443" w:rsidP="006A5C4E">
            <w:pPr>
              <w:spacing w:after="0" w:line="240" w:lineRule="auto"/>
              <w:jc w:val="center"/>
              <w:rPr>
                <w:rFonts w:ascii="Arial" w:hAnsi="Arial" w:cs="Arial"/>
                <w:sz w:val="20"/>
              </w:rPr>
            </w:pPr>
            <w:r w:rsidRPr="00BC22F7">
              <w:rPr>
                <w:rFonts w:ascii="Arial" w:hAnsi="Arial" w:cs="Arial"/>
                <w:sz w:val="20"/>
              </w:rPr>
              <w:t>3.35**</w:t>
            </w:r>
            <w:r w:rsidR="00A952AF" w:rsidRPr="00BC22F7">
              <w:rPr>
                <w:rFonts w:ascii="Arial" w:hAnsi="Arial" w:cs="Arial"/>
                <w:sz w:val="20"/>
              </w:rPr>
              <w:t>*</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.70</w:t>
            </w:r>
          </w:p>
        </w:tc>
        <w:tc>
          <w:tcPr>
            <w:tcW w:w="1008" w:type="dxa"/>
          </w:tcPr>
          <w:p w:rsidR="00A952AF" w:rsidRPr="00BC22F7" w:rsidRDefault="00256443" w:rsidP="006A5C4E">
            <w:pPr>
              <w:spacing w:after="0" w:line="240" w:lineRule="auto"/>
              <w:jc w:val="center"/>
              <w:rPr>
                <w:rFonts w:ascii="Arial" w:hAnsi="Arial" w:cs="Arial"/>
                <w:sz w:val="20"/>
              </w:rPr>
            </w:pPr>
            <w:r w:rsidRPr="00BC22F7">
              <w:rPr>
                <w:rFonts w:ascii="Arial" w:hAnsi="Arial" w:cs="Arial"/>
                <w:sz w:val="20"/>
              </w:rPr>
              <w:t>3.16*</w:t>
            </w:r>
            <w:r w:rsidR="00A952AF" w:rsidRPr="00BC22F7">
              <w:rPr>
                <w:rFonts w:ascii="Arial" w:hAnsi="Arial" w:cs="Arial"/>
                <w:sz w:val="20"/>
              </w:rPr>
              <w:t>*</w:t>
            </w:r>
            <w:r w:rsidRPr="00BC22F7">
              <w:rPr>
                <w:rFonts w:ascii="Arial" w:hAnsi="Arial" w:cs="Arial"/>
                <w:sz w:val="20"/>
              </w:rPr>
              <w:t>*</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w:t>
            </w:r>
            <w:r w:rsidR="008C1041" w:rsidRPr="00BC22F7">
              <w:rPr>
                <w:rFonts w:ascii="Arial" w:hAnsi="Arial" w:cs="Arial"/>
                <w:sz w:val="20"/>
              </w:rPr>
              <w:t>81</w:t>
            </w:r>
          </w:p>
        </w:tc>
        <w:tc>
          <w:tcPr>
            <w:tcW w:w="1008" w:type="dxa"/>
          </w:tcPr>
          <w:p w:rsidR="00A952AF" w:rsidRPr="00BC22F7" w:rsidRDefault="00256443" w:rsidP="006A5C4E">
            <w:pPr>
              <w:spacing w:after="0" w:line="240" w:lineRule="auto"/>
              <w:rPr>
                <w:rFonts w:ascii="Arial" w:hAnsi="Arial" w:cs="Arial"/>
                <w:sz w:val="20"/>
              </w:rPr>
            </w:pPr>
            <w:r w:rsidRPr="00BC22F7">
              <w:rPr>
                <w:rFonts w:ascii="Arial" w:hAnsi="Arial" w:cs="Arial"/>
                <w:sz w:val="20"/>
              </w:rPr>
              <w:t xml:space="preserve">  3.29</w:t>
            </w:r>
            <w:r w:rsidR="00A952AF" w:rsidRPr="00BC22F7">
              <w:rPr>
                <w:rFonts w:ascii="Arial" w:hAnsi="Arial" w:cs="Arial"/>
                <w:sz w:val="20"/>
              </w:rPr>
              <w:t>*</w:t>
            </w:r>
            <w:r w:rsidRPr="00BC22F7">
              <w:rPr>
                <w:rFonts w:ascii="Arial" w:hAnsi="Arial" w:cs="Arial"/>
                <w:sz w:val="20"/>
              </w:rPr>
              <w:t>**</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.73</w:t>
            </w:r>
          </w:p>
        </w:tc>
        <w:tc>
          <w:tcPr>
            <w:tcW w:w="1008" w:type="dxa"/>
          </w:tcPr>
          <w:p w:rsidR="00A952AF" w:rsidRPr="00BC22F7" w:rsidRDefault="00B82508" w:rsidP="006A5C4E">
            <w:pPr>
              <w:spacing w:after="0" w:line="240" w:lineRule="auto"/>
              <w:jc w:val="center"/>
              <w:rPr>
                <w:rFonts w:ascii="Arial" w:hAnsi="Arial" w:cs="Arial"/>
                <w:sz w:val="20"/>
              </w:rPr>
            </w:pPr>
            <w:r w:rsidRPr="00BC22F7">
              <w:rPr>
                <w:rFonts w:ascii="Arial" w:hAnsi="Arial" w:cs="Arial"/>
                <w:sz w:val="20"/>
              </w:rPr>
              <w:t xml:space="preserve"> </w:t>
            </w:r>
            <w:r w:rsidR="00256443" w:rsidRPr="00BC22F7">
              <w:rPr>
                <w:rFonts w:ascii="Arial" w:hAnsi="Arial" w:cs="Arial"/>
                <w:sz w:val="20"/>
              </w:rPr>
              <w:t>2.90</w:t>
            </w:r>
            <w:r w:rsidR="00A952AF" w:rsidRPr="00BC22F7">
              <w:rPr>
                <w:rFonts w:ascii="Arial" w:hAnsi="Arial" w:cs="Arial"/>
                <w:sz w:val="20"/>
              </w:rPr>
              <w:t>***</w:t>
            </w:r>
          </w:p>
        </w:tc>
        <w:tc>
          <w:tcPr>
            <w:tcW w:w="1008" w:type="dxa"/>
          </w:tcPr>
          <w:p w:rsidR="00A952AF" w:rsidRPr="00BC22F7" w:rsidRDefault="00B82508" w:rsidP="006A5C4E">
            <w:pPr>
              <w:spacing w:after="0" w:line="240" w:lineRule="auto"/>
              <w:jc w:val="center"/>
              <w:rPr>
                <w:rFonts w:ascii="Arial" w:hAnsi="Arial" w:cs="Arial"/>
                <w:sz w:val="20"/>
              </w:rPr>
            </w:pPr>
            <w:r w:rsidRPr="00BC22F7">
              <w:rPr>
                <w:rFonts w:ascii="Arial" w:hAnsi="Arial" w:cs="Arial"/>
                <w:sz w:val="20"/>
              </w:rPr>
              <w:t>.91</w:t>
            </w:r>
          </w:p>
        </w:tc>
        <w:tc>
          <w:tcPr>
            <w:tcW w:w="1008" w:type="dxa"/>
          </w:tcPr>
          <w:p w:rsidR="00A952AF" w:rsidRPr="00BC22F7" w:rsidRDefault="00256443" w:rsidP="008A213F">
            <w:pPr>
              <w:spacing w:after="0" w:line="240" w:lineRule="auto"/>
              <w:jc w:val="center"/>
              <w:rPr>
                <w:rFonts w:ascii="Arial" w:hAnsi="Arial" w:cs="Arial"/>
                <w:sz w:val="20"/>
              </w:rPr>
            </w:pPr>
            <w:r w:rsidRPr="00BC22F7">
              <w:rPr>
                <w:rFonts w:ascii="Arial" w:hAnsi="Arial" w:cs="Arial"/>
                <w:sz w:val="20"/>
              </w:rPr>
              <w:t>2.81***</w:t>
            </w:r>
          </w:p>
        </w:tc>
        <w:tc>
          <w:tcPr>
            <w:tcW w:w="1008" w:type="dxa"/>
          </w:tcPr>
          <w:p w:rsidR="00A952AF" w:rsidRPr="00BC22F7" w:rsidRDefault="00B82508" w:rsidP="00B82508">
            <w:pPr>
              <w:spacing w:after="0" w:line="240" w:lineRule="auto"/>
              <w:rPr>
                <w:rFonts w:ascii="Arial" w:hAnsi="Arial" w:cs="Arial"/>
                <w:sz w:val="20"/>
              </w:rPr>
            </w:pPr>
            <w:r w:rsidRPr="00BC22F7">
              <w:rPr>
                <w:rFonts w:ascii="Arial" w:hAnsi="Arial" w:cs="Arial"/>
                <w:sz w:val="20"/>
              </w:rPr>
              <w:t xml:space="preserve">  .7</w:t>
            </w:r>
            <w:r w:rsidR="008C1041" w:rsidRPr="00BC22F7">
              <w:rPr>
                <w:rFonts w:ascii="Arial" w:hAnsi="Arial" w:cs="Arial"/>
                <w:sz w:val="20"/>
              </w:rPr>
              <w:t>9</w:t>
            </w:r>
          </w:p>
        </w:tc>
        <w:tc>
          <w:tcPr>
            <w:tcW w:w="1008" w:type="dxa"/>
          </w:tcPr>
          <w:p w:rsidR="00A952AF" w:rsidRPr="00BC22F7" w:rsidRDefault="00256443" w:rsidP="008A213F">
            <w:pPr>
              <w:spacing w:after="0" w:line="240" w:lineRule="auto"/>
              <w:rPr>
                <w:rFonts w:ascii="Arial" w:hAnsi="Arial" w:cs="Arial"/>
                <w:sz w:val="20"/>
              </w:rPr>
            </w:pPr>
            <w:r w:rsidRPr="00BC22F7">
              <w:rPr>
                <w:rFonts w:ascii="Arial" w:hAnsi="Arial" w:cs="Arial"/>
                <w:sz w:val="20"/>
              </w:rPr>
              <w:t>3.14***</w:t>
            </w:r>
          </w:p>
        </w:tc>
        <w:tc>
          <w:tcPr>
            <w:tcW w:w="1008" w:type="dxa"/>
          </w:tcPr>
          <w:p w:rsidR="00A952AF" w:rsidRPr="00BC22F7" w:rsidRDefault="00B82508" w:rsidP="008A213F">
            <w:pPr>
              <w:spacing w:after="0" w:line="240" w:lineRule="auto"/>
              <w:rPr>
                <w:rFonts w:ascii="Arial" w:hAnsi="Arial" w:cs="Arial"/>
                <w:sz w:val="20"/>
              </w:rPr>
            </w:pPr>
            <w:r w:rsidRPr="00BC22F7">
              <w:rPr>
                <w:rFonts w:ascii="Arial" w:hAnsi="Arial" w:cs="Arial"/>
                <w:sz w:val="20"/>
              </w:rPr>
              <w:t>.7</w:t>
            </w:r>
            <w:r w:rsidR="008C1041" w:rsidRPr="00BC22F7">
              <w:rPr>
                <w:rFonts w:ascii="Arial" w:hAnsi="Arial" w:cs="Arial"/>
                <w:sz w:val="20"/>
              </w:rPr>
              <w:t>2</w:t>
            </w:r>
          </w:p>
        </w:tc>
      </w:tr>
      <w:tr w:rsidR="00A952AF" w:rsidRPr="00BC22F7" w:rsidTr="001A5CA9">
        <w:tc>
          <w:tcPr>
            <w:tcW w:w="1800" w:type="dxa"/>
          </w:tcPr>
          <w:p w:rsidR="00A952AF" w:rsidRPr="00BC22F7" w:rsidRDefault="00A952AF" w:rsidP="006A5C4E">
            <w:pPr>
              <w:spacing w:after="0" w:line="240" w:lineRule="auto"/>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r>
      <w:tr w:rsidR="00A952AF" w:rsidRPr="00BC22F7" w:rsidTr="001A5CA9">
        <w:tc>
          <w:tcPr>
            <w:tcW w:w="1800" w:type="dxa"/>
          </w:tcPr>
          <w:p w:rsidR="00A952AF" w:rsidRPr="00BC22F7" w:rsidRDefault="001A5CA9" w:rsidP="006A5C4E">
            <w:pPr>
              <w:spacing w:after="0" w:line="240" w:lineRule="auto"/>
              <w:rPr>
                <w:rFonts w:ascii="Arial" w:hAnsi="Arial" w:cs="Arial"/>
                <w:sz w:val="20"/>
                <w:u w:val="single"/>
              </w:rPr>
            </w:pPr>
            <w:proofErr w:type="spellStart"/>
            <w:r w:rsidRPr="00BC22F7">
              <w:rPr>
                <w:rFonts w:ascii="Arial" w:hAnsi="Arial" w:cs="Arial"/>
                <w:sz w:val="20"/>
                <w:u w:val="single"/>
              </w:rPr>
              <w:t>Aborig</w:t>
            </w:r>
            <w:proofErr w:type="spellEnd"/>
            <w:r w:rsidRPr="00BC22F7">
              <w:rPr>
                <w:rFonts w:ascii="Arial" w:hAnsi="Arial" w:cs="Arial"/>
                <w:sz w:val="20"/>
                <w:u w:val="single"/>
              </w:rPr>
              <w:t>. Peoples</w:t>
            </w: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r>
      <w:tr w:rsidR="00A952AF" w:rsidRPr="00BC22F7" w:rsidTr="001A5CA9">
        <w:tc>
          <w:tcPr>
            <w:tcW w:w="1800" w:type="dxa"/>
          </w:tcPr>
          <w:p w:rsidR="00A952AF" w:rsidRPr="00BC22F7" w:rsidRDefault="001A5CA9" w:rsidP="006A5C4E">
            <w:pPr>
              <w:spacing w:after="0" w:line="240" w:lineRule="auto"/>
              <w:rPr>
                <w:rFonts w:ascii="Arial" w:hAnsi="Arial" w:cs="Arial"/>
                <w:sz w:val="20"/>
              </w:rPr>
            </w:pPr>
            <w:r w:rsidRPr="00BC22F7">
              <w:rPr>
                <w:rFonts w:ascii="Arial" w:hAnsi="Arial" w:cs="Arial"/>
                <w:sz w:val="20"/>
              </w:rPr>
              <w:t xml:space="preserve">  Aboriginal</w:t>
            </w:r>
          </w:p>
        </w:tc>
        <w:tc>
          <w:tcPr>
            <w:tcW w:w="1008" w:type="dxa"/>
          </w:tcPr>
          <w:p w:rsidR="00A952AF" w:rsidRPr="00BC22F7" w:rsidRDefault="0010579C" w:rsidP="0010579C">
            <w:pPr>
              <w:spacing w:after="0" w:line="240" w:lineRule="auto"/>
              <w:rPr>
                <w:rFonts w:ascii="Arial" w:hAnsi="Arial" w:cs="Arial"/>
                <w:sz w:val="20"/>
              </w:rPr>
            </w:pPr>
            <w:r w:rsidRPr="00BC22F7">
              <w:rPr>
                <w:rFonts w:ascii="Arial" w:hAnsi="Arial" w:cs="Arial"/>
                <w:sz w:val="20"/>
              </w:rPr>
              <w:t xml:space="preserve">  </w:t>
            </w:r>
            <w:r w:rsidR="00097538" w:rsidRPr="00BC22F7">
              <w:rPr>
                <w:rFonts w:ascii="Arial" w:hAnsi="Arial" w:cs="Arial"/>
                <w:sz w:val="20"/>
              </w:rPr>
              <w:t>3.43</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.69</w:t>
            </w:r>
          </w:p>
        </w:tc>
        <w:tc>
          <w:tcPr>
            <w:tcW w:w="1008" w:type="dxa"/>
          </w:tcPr>
          <w:p w:rsidR="00A952AF" w:rsidRPr="00BC22F7" w:rsidRDefault="0010579C" w:rsidP="0010579C">
            <w:pPr>
              <w:spacing w:after="0" w:line="240" w:lineRule="auto"/>
              <w:rPr>
                <w:rFonts w:ascii="Arial" w:hAnsi="Arial" w:cs="Arial"/>
                <w:sz w:val="20"/>
              </w:rPr>
            </w:pPr>
            <w:r w:rsidRPr="00BC22F7">
              <w:rPr>
                <w:rFonts w:ascii="Arial" w:hAnsi="Arial" w:cs="Arial"/>
                <w:sz w:val="20"/>
              </w:rPr>
              <w:t xml:space="preserve">  </w:t>
            </w:r>
            <w:r w:rsidR="00097538" w:rsidRPr="00BC22F7">
              <w:rPr>
                <w:rFonts w:ascii="Arial" w:hAnsi="Arial" w:cs="Arial"/>
                <w:sz w:val="20"/>
              </w:rPr>
              <w:t>3.27</w:t>
            </w:r>
            <w:r w:rsidR="00ED0D27" w:rsidRPr="00BC22F7">
              <w:rPr>
                <w:rFonts w:ascii="Arial" w:hAnsi="Arial" w:cs="Arial"/>
                <w:sz w:val="20"/>
              </w:rPr>
              <w:t>**</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.73</w:t>
            </w:r>
          </w:p>
        </w:tc>
        <w:tc>
          <w:tcPr>
            <w:tcW w:w="1008" w:type="dxa"/>
          </w:tcPr>
          <w:p w:rsidR="00A952AF" w:rsidRPr="00BC22F7" w:rsidRDefault="00097538" w:rsidP="006A5C4E">
            <w:pPr>
              <w:spacing w:after="0" w:line="240" w:lineRule="auto"/>
              <w:rPr>
                <w:rFonts w:ascii="Arial" w:hAnsi="Arial" w:cs="Arial"/>
                <w:sz w:val="20"/>
              </w:rPr>
            </w:pPr>
            <w:r w:rsidRPr="00BC22F7">
              <w:rPr>
                <w:rFonts w:ascii="Arial" w:hAnsi="Arial" w:cs="Arial"/>
                <w:sz w:val="20"/>
              </w:rPr>
              <w:t xml:space="preserve">  3.34</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.72</w:t>
            </w:r>
          </w:p>
        </w:tc>
        <w:tc>
          <w:tcPr>
            <w:tcW w:w="1008" w:type="dxa"/>
          </w:tcPr>
          <w:p w:rsidR="00A952AF" w:rsidRPr="00BC22F7" w:rsidRDefault="00B82508" w:rsidP="006A5C4E">
            <w:pPr>
              <w:spacing w:after="0" w:line="240" w:lineRule="auto"/>
              <w:jc w:val="center"/>
              <w:rPr>
                <w:rFonts w:ascii="Arial" w:hAnsi="Arial" w:cs="Arial"/>
                <w:sz w:val="20"/>
              </w:rPr>
            </w:pPr>
            <w:r w:rsidRPr="00BC22F7">
              <w:rPr>
                <w:rFonts w:ascii="Arial" w:hAnsi="Arial" w:cs="Arial"/>
                <w:sz w:val="20"/>
              </w:rPr>
              <w:t xml:space="preserve"> </w:t>
            </w:r>
            <w:r w:rsidR="00097538" w:rsidRPr="00BC22F7">
              <w:rPr>
                <w:rFonts w:ascii="Arial" w:hAnsi="Arial" w:cs="Arial"/>
                <w:sz w:val="20"/>
              </w:rPr>
              <w:t>3.25</w:t>
            </w:r>
            <w:r w:rsidR="00A952AF" w:rsidRPr="00BC22F7">
              <w:rPr>
                <w:rFonts w:ascii="Arial" w:hAnsi="Arial" w:cs="Arial"/>
                <w:sz w:val="20"/>
              </w:rPr>
              <w:t>***</w:t>
            </w:r>
          </w:p>
        </w:tc>
        <w:tc>
          <w:tcPr>
            <w:tcW w:w="1008" w:type="dxa"/>
          </w:tcPr>
          <w:p w:rsidR="00A952AF" w:rsidRPr="00BC22F7" w:rsidRDefault="00B82508" w:rsidP="006A5C4E">
            <w:pPr>
              <w:spacing w:after="0" w:line="240" w:lineRule="auto"/>
              <w:jc w:val="center"/>
              <w:rPr>
                <w:rFonts w:ascii="Arial" w:hAnsi="Arial" w:cs="Arial"/>
                <w:sz w:val="20"/>
              </w:rPr>
            </w:pPr>
            <w:r w:rsidRPr="00BC22F7">
              <w:rPr>
                <w:rFonts w:ascii="Arial" w:hAnsi="Arial" w:cs="Arial"/>
                <w:sz w:val="20"/>
              </w:rPr>
              <w:t>.91</w:t>
            </w:r>
          </w:p>
        </w:tc>
        <w:tc>
          <w:tcPr>
            <w:tcW w:w="1008" w:type="dxa"/>
          </w:tcPr>
          <w:p w:rsidR="00A952AF" w:rsidRPr="00BC22F7" w:rsidRDefault="0010579C" w:rsidP="0010579C">
            <w:pPr>
              <w:spacing w:after="0" w:line="240" w:lineRule="auto"/>
              <w:rPr>
                <w:rFonts w:ascii="Arial" w:hAnsi="Arial" w:cs="Arial"/>
                <w:sz w:val="20"/>
              </w:rPr>
            </w:pPr>
            <w:r w:rsidRPr="00BC22F7">
              <w:rPr>
                <w:rFonts w:ascii="Arial" w:hAnsi="Arial" w:cs="Arial"/>
                <w:sz w:val="20"/>
              </w:rPr>
              <w:t xml:space="preserve">  </w:t>
            </w:r>
            <w:r w:rsidR="00097538" w:rsidRPr="00BC22F7">
              <w:rPr>
                <w:rFonts w:ascii="Arial" w:hAnsi="Arial" w:cs="Arial"/>
                <w:sz w:val="20"/>
              </w:rPr>
              <w:t>2.91</w:t>
            </w:r>
          </w:p>
        </w:tc>
        <w:tc>
          <w:tcPr>
            <w:tcW w:w="1008" w:type="dxa"/>
          </w:tcPr>
          <w:p w:rsidR="00A952AF" w:rsidRPr="00BC22F7" w:rsidRDefault="00B82508" w:rsidP="00B82508">
            <w:pPr>
              <w:spacing w:after="0" w:line="240" w:lineRule="auto"/>
              <w:rPr>
                <w:rFonts w:ascii="Arial" w:hAnsi="Arial" w:cs="Arial"/>
                <w:sz w:val="20"/>
              </w:rPr>
            </w:pPr>
            <w:r w:rsidRPr="00BC22F7">
              <w:rPr>
                <w:rFonts w:ascii="Arial" w:hAnsi="Arial" w:cs="Arial"/>
                <w:sz w:val="20"/>
              </w:rPr>
              <w:t xml:space="preserve">  .83</w:t>
            </w:r>
          </w:p>
        </w:tc>
        <w:tc>
          <w:tcPr>
            <w:tcW w:w="1008" w:type="dxa"/>
          </w:tcPr>
          <w:p w:rsidR="00A952AF" w:rsidRPr="00BC22F7" w:rsidRDefault="00097538" w:rsidP="008A213F">
            <w:pPr>
              <w:spacing w:after="0" w:line="240" w:lineRule="auto"/>
              <w:rPr>
                <w:rFonts w:ascii="Arial" w:hAnsi="Arial" w:cs="Arial"/>
                <w:sz w:val="20"/>
              </w:rPr>
            </w:pPr>
            <w:r w:rsidRPr="00BC22F7">
              <w:rPr>
                <w:rFonts w:ascii="Arial" w:hAnsi="Arial" w:cs="Arial"/>
                <w:sz w:val="20"/>
              </w:rPr>
              <w:t>3.19</w:t>
            </w:r>
          </w:p>
        </w:tc>
        <w:tc>
          <w:tcPr>
            <w:tcW w:w="1008" w:type="dxa"/>
          </w:tcPr>
          <w:p w:rsidR="00A952AF" w:rsidRPr="00BC22F7" w:rsidRDefault="00B82508" w:rsidP="008A213F">
            <w:pPr>
              <w:spacing w:after="0" w:line="240" w:lineRule="auto"/>
              <w:rPr>
                <w:rFonts w:ascii="Arial" w:hAnsi="Arial" w:cs="Arial"/>
                <w:sz w:val="20"/>
              </w:rPr>
            </w:pPr>
            <w:r w:rsidRPr="00BC22F7">
              <w:rPr>
                <w:rFonts w:ascii="Arial" w:hAnsi="Arial" w:cs="Arial"/>
                <w:sz w:val="20"/>
              </w:rPr>
              <w:t>.75</w:t>
            </w:r>
          </w:p>
        </w:tc>
      </w:tr>
      <w:tr w:rsidR="00A952AF" w:rsidRPr="00BC22F7" w:rsidTr="001A5CA9">
        <w:tc>
          <w:tcPr>
            <w:tcW w:w="1800" w:type="dxa"/>
          </w:tcPr>
          <w:p w:rsidR="00A952AF" w:rsidRPr="00BC22F7" w:rsidRDefault="001A5CA9" w:rsidP="006A5C4E">
            <w:pPr>
              <w:spacing w:after="0" w:line="240" w:lineRule="auto"/>
              <w:rPr>
                <w:rFonts w:ascii="Arial" w:hAnsi="Arial" w:cs="Arial"/>
                <w:sz w:val="20"/>
              </w:rPr>
            </w:pPr>
            <w:r w:rsidRPr="00BC22F7">
              <w:rPr>
                <w:rFonts w:ascii="Arial" w:hAnsi="Arial" w:cs="Arial"/>
                <w:sz w:val="20"/>
              </w:rPr>
              <w:t xml:space="preserve">  Non-Aboriginal</w:t>
            </w:r>
          </w:p>
        </w:tc>
        <w:tc>
          <w:tcPr>
            <w:tcW w:w="1008" w:type="dxa"/>
          </w:tcPr>
          <w:p w:rsidR="00A952AF" w:rsidRPr="00BC22F7" w:rsidRDefault="0010579C" w:rsidP="0010579C">
            <w:pPr>
              <w:spacing w:after="0" w:line="240" w:lineRule="auto"/>
              <w:rPr>
                <w:rFonts w:ascii="Arial" w:hAnsi="Arial" w:cs="Arial"/>
                <w:sz w:val="20"/>
              </w:rPr>
            </w:pPr>
            <w:r w:rsidRPr="00BC22F7">
              <w:rPr>
                <w:rFonts w:ascii="Arial" w:hAnsi="Arial" w:cs="Arial"/>
                <w:sz w:val="20"/>
              </w:rPr>
              <w:t xml:space="preserve">  </w:t>
            </w:r>
            <w:r w:rsidR="00097538" w:rsidRPr="00BC22F7">
              <w:rPr>
                <w:rFonts w:ascii="Arial" w:hAnsi="Arial" w:cs="Arial"/>
                <w:sz w:val="20"/>
              </w:rPr>
              <w:t>3.3</w:t>
            </w:r>
            <w:r w:rsidR="00ED0D27" w:rsidRPr="00BC22F7">
              <w:rPr>
                <w:rFonts w:ascii="Arial" w:hAnsi="Arial" w:cs="Arial"/>
                <w:sz w:val="20"/>
              </w:rPr>
              <w:t>7</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.70</w:t>
            </w:r>
          </w:p>
        </w:tc>
        <w:tc>
          <w:tcPr>
            <w:tcW w:w="1008" w:type="dxa"/>
          </w:tcPr>
          <w:p w:rsidR="00A952AF" w:rsidRPr="00BC22F7" w:rsidRDefault="0010579C" w:rsidP="0010579C">
            <w:pPr>
              <w:spacing w:after="0" w:line="240" w:lineRule="auto"/>
              <w:rPr>
                <w:rFonts w:ascii="Arial" w:hAnsi="Arial" w:cs="Arial"/>
                <w:sz w:val="20"/>
              </w:rPr>
            </w:pPr>
            <w:r w:rsidRPr="00BC22F7">
              <w:rPr>
                <w:rFonts w:ascii="Arial" w:hAnsi="Arial" w:cs="Arial"/>
                <w:sz w:val="20"/>
              </w:rPr>
              <w:t xml:space="preserve">  </w:t>
            </w:r>
            <w:r w:rsidR="00097538" w:rsidRPr="00BC22F7">
              <w:rPr>
                <w:rFonts w:ascii="Arial" w:hAnsi="Arial" w:cs="Arial"/>
                <w:sz w:val="20"/>
              </w:rPr>
              <w:t>3.13</w:t>
            </w:r>
            <w:r w:rsidR="00ED0D27" w:rsidRPr="00BC22F7">
              <w:rPr>
                <w:rFonts w:ascii="Arial" w:hAnsi="Arial" w:cs="Arial"/>
                <w:sz w:val="20"/>
              </w:rPr>
              <w:t>**</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.81</w:t>
            </w:r>
          </w:p>
        </w:tc>
        <w:tc>
          <w:tcPr>
            <w:tcW w:w="1008" w:type="dxa"/>
          </w:tcPr>
          <w:p w:rsidR="00A952AF" w:rsidRPr="00BC22F7" w:rsidRDefault="00097538" w:rsidP="006A5C4E">
            <w:pPr>
              <w:spacing w:after="0" w:line="240" w:lineRule="auto"/>
              <w:rPr>
                <w:rFonts w:ascii="Arial" w:hAnsi="Arial" w:cs="Arial"/>
                <w:sz w:val="20"/>
              </w:rPr>
            </w:pPr>
            <w:r w:rsidRPr="00BC22F7">
              <w:rPr>
                <w:rFonts w:ascii="Arial" w:hAnsi="Arial" w:cs="Arial"/>
                <w:sz w:val="20"/>
              </w:rPr>
              <w:t xml:space="preserve">  3.31</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.73</w:t>
            </w:r>
          </w:p>
        </w:tc>
        <w:tc>
          <w:tcPr>
            <w:tcW w:w="1008" w:type="dxa"/>
          </w:tcPr>
          <w:p w:rsidR="00A952AF" w:rsidRPr="00BC22F7" w:rsidRDefault="00B82508" w:rsidP="006A5C4E">
            <w:pPr>
              <w:spacing w:after="0" w:line="240" w:lineRule="auto"/>
              <w:jc w:val="center"/>
              <w:rPr>
                <w:rFonts w:ascii="Arial" w:hAnsi="Arial" w:cs="Arial"/>
                <w:sz w:val="20"/>
              </w:rPr>
            </w:pPr>
            <w:r w:rsidRPr="00BC22F7">
              <w:rPr>
                <w:rFonts w:ascii="Arial" w:hAnsi="Arial" w:cs="Arial"/>
                <w:sz w:val="20"/>
              </w:rPr>
              <w:t xml:space="preserve"> </w:t>
            </w:r>
            <w:r w:rsidR="00097538" w:rsidRPr="00BC22F7">
              <w:rPr>
                <w:rFonts w:ascii="Arial" w:hAnsi="Arial" w:cs="Arial"/>
                <w:sz w:val="20"/>
              </w:rPr>
              <w:t>3.02</w:t>
            </w:r>
            <w:r w:rsidR="00A952AF" w:rsidRPr="00BC22F7">
              <w:rPr>
                <w:rFonts w:ascii="Arial" w:hAnsi="Arial" w:cs="Arial"/>
                <w:sz w:val="20"/>
              </w:rPr>
              <w:t>***</w:t>
            </w:r>
          </w:p>
        </w:tc>
        <w:tc>
          <w:tcPr>
            <w:tcW w:w="1008" w:type="dxa"/>
          </w:tcPr>
          <w:p w:rsidR="00A952AF" w:rsidRPr="00BC22F7" w:rsidRDefault="00B82508" w:rsidP="006A5C4E">
            <w:pPr>
              <w:spacing w:after="0" w:line="240" w:lineRule="auto"/>
              <w:jc w:val="center"/>
              <w:rPr>
                <w:rFonts w:ascii="Arial" w:hAnsi="Arial" w:cs="Arial"/>
                <w:sz w:val="20"/>
              </w:rPr>
            </w:pPr>
            <w:r w:rsidRPr="00BC22F7">
              <w:rPr>
                <w:rFonts w:ascii="Arial" w:hAnsi="Arial" w:cs="Arial"/>
                <w:sz w:val="20"/>
              </w:rPr>
              <w:t>.91</w:t>
            </w:r>
          </w:p>
        </w:tc>
        <w:tc>
          <w:tcPr>
            <w:tcW w:w="1008" w:type="dxa"/>
          </w:tcPr>
          <w:p w:rsidR="00A952AF" w:rsidRPr="00BC22F7" w:rsidRDefault="0010579C" w:rsidP="0010579C">
            <w:pPr>
              <w:spacing w:after="0" w:line="240" w:lineRule="auto"/>
              <w:rPr>
                <w:rFonts w:ascii="Arial" w:hAnsi="Arial" w:cs="Arial"/>
                <w:sz w:val="20"/>
              </w:rPr>
            </w:pPr>
            <w:r w:rsidRPr="00BC22F7">
              <w:rPr>
                <w:rFonts w:ascii="Arial" w:hAnsi="Arial" w:cs="Arial"/>
                <w:sz w:val="20"/>
              </w:rPr>
              <w:t xml:space="preserve">  </w:t>
            </w:r>
            <w:r w:rsidR="00097538" w:rsidRPr="00BC22F7">
              <w:rPr>
                <w:rFonts w:ascii="Arial" w:hAnsi="Arial" w:cs="Arial"/>
                <w:sz w:val="20"/>
              </w:rPr>
              <w:t>2.90</w:t>
            </w:r>
          </w:p>
        </w:tc>
        <w:tc>
          <w:tcPr>
            <w:tcW w:w="1008" w:type="dxa"/>
          </w:tcPr>
          <w:p w:rsidR="00A952AF" w:rsidRPr="00BC22F7" w:rsidRDefault="00B82508" w:rsidP="00B82508">
            <w:pPr>
              <w:spacing w:after="0" w:line="240" w:lineRule="auto"/>
              <w:rPr>
                <w:rFonts w:ascii="Arial" w:hAnsi="Arial" w:cs="Arial"/>
                <w:sz w:val="20"/>
              </w:rPr>
            </w:pPr>
            <w:r w:rsidRPr="00BC22F7">
              <w:rPr>
                <w:rFonts w:ascii="Arial" w:hAnsi="Arial" w:cs="Arial"/>
                <w:sz w:val="20"/>
              </w:rPr>
              <w:t xml:space="preserve">  .78</w:t>
            </w:r>
          </w:p>
        </w:tc>
        <w:tc>
          <w:tcPr>
            <w:tcW w:w="1008" w:type="dxa"/>
          </w:tcPr>
          <w:p w:rsidR="00A952AF" w:rsidRPr="00BC22F7" w:rsidRDefault="00097538" w:rsidP="008A213F">
            <w:pPr>
              <w:spacing w:after="0" w:line="240" w:lineRule="auto"/>
              <w:rPr>
                <w:rFonts w:ascii="Arial" w:hAnsi="Arial" w:cs="Arial"/>
                <w:sz w:val="20"/>
              </w:rPr>
            </w:pPr>
            <w:r w:rsidRPr="00BC22F7">
              <w:rPr>
                <w:rFonts w:ascii="Arial" w:hAnsi="Arial" w:cs="Arial"/>
                <w:sz w:val="20"/>
              </w:rPr>
              <w:t>3.27</w:t>
            </w:r>
          </w:p>
        </w:tc>
        <w:tc>
          <w:tcPr>
            <w:tcW w:w="1008" w:type="dxa"/>
          </w:tcPr>
          <w:p w:rsidR="00A952AF" w:rsidRPr="00BC22F7" w:rsidRDefault="00B82508" w:rsidP="008A213F">
            <w:pPr>
              <w:spacing w:after="0" w:line="240" w:lineRule="auto"/>
              <w:rPr>
                <w:rFonts w:ascii="Arial" w:hAnsi="Arial" w:cs="Arial"/>
                <w:sz w:val="20"/>
              </w:rPr>
            </w:pPr>
            <w:r w:rsidRPr="00BC22F7">
              <w:rPr>
                <w:rFonts w:ascii="Arial" w:hAnsi="Arial" w:cs="Arial"/>
                <w:sz w:val="20"/>
              </w:rPr>
              <w:t>.71</w:t>
            </w:r>
          </w:p>
        </w:tc>
      </w:tr>
      <w:tr w:rsidR="00A952AF" w:rsidRPr="00BC22F7" w:rsidTr="001A5CA9">
        <w:tc>
          <w:tcPr>
            <w:tcW w:w="1800" w:type="dxa"/>
          </w:tcPr>
          <w:p w:rsidR="00A952AF" w:rsidRPr="00BC22F7" w:rsidRDefault="00A952AF" w:rsidP="006A5C4E">
            <w:pPr>
              <w:spacing w:after="0" w:line="240" w:lineRule="auto"/>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r>
      <w:tr w:rsidR="00A952AF" w:rsidRPr="00BC22F7" w:rsidTr="001A5CA9">
        <w:tc>
          <w:tcPr>
            <w:tcW w:w="1800" w:type="dxa"/>
          </w:tcPr>
          <w:p w:rsidR="00A952AF" w:rsidRPr="00BC22F7" w:rsidRDefault="001A5CA9" w:rsidP="006A5C4E">
            <w:pPr>
              <w:spacing w:after="0" w:line="240" w:lineRule="auto"/>
              <w:rPr>
                <w:rFonts w:ascii="Arial" w:hAnsi="Arial" w:cs="Arial"/>
                <w:sz w:val="20"/>
              </w:rPr>
            </w:pPr>
            <w:r w:rsidRPr="00BC22F7">
              <w:rPr>
                <w:rFonts w:ascii="Arial" w:hAnsi="Arial" w:cs="Arial"/>
                <w:sz w:val="20"/>
              </w:rPr>
              <w:t xml:space="preserve">Persons with </w:t>
            </w:r>
            <w:r w:rsidRPr="00BC22F7">
              <w:rPr>
                <w:rFonts w:ascii="Arial" w:hAnsi="Arial" w:cs="Arial"/>
                <w:sz w:val="20"/>
                <w:u w:val="single"/>
              </w:rPr>
              <w:t>Disabilities</w:t>
            </w:r>
            <w:r w:rsidRPr="00BC22F7">
              <w:rPr>
                <w:rFonts w:ascii="Arial" w:hAnsi="Arial" w:cs="Arial"/>
                <w:sz w:val="20"/>
              </w:rPr>
              <w:t xml:space="preserve"> </w:t>
            </w: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r>
      <w:tr w:rsidR="00A952AF" w:rsidRPr="00BC22F7" w:rsidTr="001A5CA9">
        <w:tc>
          <w:tcPr>
            <w:tcW w:w="1800" w:type="dxa"/>
          </w:tcPr>
          <w:p w:rsidR="00A952AF" w:rsidRPr="00BC22F7" w:rsidRDefault="001A5CA9" w:rsidP="006A5C4E">
            <w:pPr>
              <w:spacing w:after="0" w:line="240" w:lineRule="auto"/>
              <w:rPr>
                <w:rFonts w:ascii="Arial" w:hAnsi="Arial" w:cs="Arial"/>
                <w:sz w:val="20"/>
              </w:rPr>
            </w:pPr>
            <w:r w:rsidRPr="00BC22F7">
              <w:rPr>
                <w:rFonts w:ascii="Arial" w:hAnsi="Arial" w:cs="Arial"/>
                <w:sz w:val="20"/>
              </w:rPr>
              <w:t xml:space="preserve">  PWD</w:t>
            </w:r>
          </w:p>
        </w:tc>
        <w:tc>
          <w:tcPr>
            <w:tcW w:w="1008" w:type="dxa"/>
          </w:tcPr>
          <w:p w:rsidR="00A952AF" w:rsidRPr="00BC22F7" w:rsidRDefault="006308E5" w:rsidP="0010579C">
            <w:pPr>
              <w:spacing w:after="0" w:line="240" w:lineRule="auto"/>
              <w:rPr>
                <w:rFonts w:ascii="Arial" w:hAnsi="Arial" w:cs="Arial"/>
                <w:sz w:val="20"/>
              </w:rPr>
            </w:pPr>
            <w:r w:rsidRPr="00BC22F7">
              <w:rPr>
                <w:rFonts w:ascii="Arial" w:hAnsi="Arial" w:cs="Arial"/>
                <w:sz w:val="20"/>
              </w:rPr>
              <w:t xml:space="preserve">  3.41</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.73</w:t>
            </w:r>
          </w:p>
        </w:tc>
        <w:tc>
          <w:tcPr>
            <w:tcW w:w="1008" w:type="dxa"/>
          </w:tcPr>
          <w:p w:rsidR="00A952AF" w:rsidRPr="00BC22F7" w:rsidRDefault="006308E5" w:rsidP="006308E5">
            <w:pPr>
              <w:spacing w:after="0" w:line="240" w:lineRule="auto"/>
              <w:rPr>
                <w:rFonts w:ascii="Arial" w:hAnsi="Arial" w:cs="Arial"/>
                <w:sz w:val="20"/>
              </w:rPr>
            </w:pPr>
            <w:r w:rsidRPr="00BC22F7">
              <w:rPr>
                <w:rFonts w:ascii="Arial" w:hAnsi="Arial" w:cs="Arial"/>
                <w:sz w:val="20"/>
              </w:rPr>
              <w:t xml:space="preserve">  3.22</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.84</w:t>
            </w:r>
          </w:p>
        </w:tc>
        <w:tc>
          <w:tcPr>
            <w:tcW w:w="1008" w:type="dxa"/>
          </w:tcPr>
          <w:p w:rsidR="00A952AF" w:rsidRPr="00BC22F7" w:rsidRDefault="006308E5" w:rsidP="006A5C4E">
            <w:pPr>
              <w:spacing w:after="0" w:line="240" w:lineRule="auto"/>
              <w:rPr>
                <w:rFonts w:ascii="Arial" w:hAnsi="Arial" w:cs="Arial"/>
                <w:sz w:val="20"/>
              </w:rPr>
            </w:pPr>
            <w:r w:rsidRPr="00BC22F7">
              <w:rPr>
                <w:rFonts w:ascii="Arial" w:hAnsi="Arial" w:cs="Arial"/>
                <w:sz w:val="20"/>
              </w:rPr>
              <w:t xml:space="preserve">  3.36</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.75</w:t>
            </w:r>
          </w:p>
        </w:tc>
        <w:tc>
          <w:tcPr>
            <w:tcW w:w="1008" w:type="dxa"/>
          </w:tcPr>
          <w:p w:rsidR="00A952AF" w:rsidRPr="00BC22F7" w:rsidRDefault="00B96D6E" w:rsidP="00B96D6E">
            <w:pPr>
              <w:spacing w:after="0" w:line="240" w:lineRule="auto"/>
              <w:rPr>
                <w:rFonts w:ascii="Arial" w:hAnsi="Arial" w:cs="Arial"/>
                <w:sz w:val="20"/>
              </w:rPr>
            </w:pPr>
            <w:r w:rsidRPr="00BC22F7">
              <w:rPr>
                <w:rFonts w:ascii="Arial" w:hAnsi="Arial" w:cs="Arial"/>
                <w:sz w:val="20"/>
              </w:rPr>
              <w:t xml:space="preserve">  </w:t>
            </w:r>
            <w:r w:rsidR="006308E5" w:rsidRPr="00BC22F7">
              <w:rPr>
                <w:rFonts w:ascii="Arial" w:hAnsi="Arial" w:cs="Arial"/>
                <w:sz w:val="20"/>
              </w:rPr>
              <w:t>3.19</w:t>
            </w:r>
            <w:r w:rsidRPr="00BC22F7">
              <w:rPr>
                <w:rFonts w:ascii="Arial" w:hAnsi="Arial" w:cs="Arial"/>
                <w:sz w:val="20"/>
              </w:rPr>
              <w:t>*</w:t>
            </w:r>
          </w:p>
        </w:tc>
        <w:tc>
          <w:tcPr>
            <w:tcW w:w="1008" w:type="dxa"/>
          </w:tcPr>
          <w:p w:rsidR="00A952AF" w:rsidRPr="00BC22F7" w:rsidRDefault="008C1041" w:rsidP="006A5C4E">
            <w:pPr>
              <w:spacing w:after="0" w:line="240" w:lineRule="auto"/>
              <w:jc w:val="center"/>
              <w:rPr>
                <w:rFonts w:ascii="Arial" w:hAnsi="Arial" w:cs="Arial"/>
                <w:sz w:val="20"/>
              </w:rPr>
            </w:pPr>
            <w:r w:rsidRPr="00BC22F7">
              <w:rPr>
                <w:rFonts w:ascii="Arial" w:hAnsi="Arial" w:cs="Arial"/>
                <w:sz w:val="20"/>
              </w:rPr>
              <w:t>.95</w:t>
            </w:r>
          </w:p>
        </w:tc>
        <w:tc>
          <w:tcPr>
            <w:tcW w:w="1008" w:type="dxa"/>
          </w:tcPr>
          <w:p w:rsidR="00A952AF" w:rsidRPr="00BC22F7" w:rsidRDefault="00B96D6E" w:rsidP="00B96D6E">
            <w:pPr>
              <w:spacing w:after="0" w:line="240" w:lineRule="auto"/>
              <w:rPr>
                <w:rFonts w:ascii="Arial" w:hAnsi="Arial" w:cs="Arial"/>
                <w:sz w:val="20"/>
              </w:rPr>
            </w:pPr>
            <w:r w:rsidRPr="00BC22F7">
              <w:rPr>
                <w:rFonts w:ascii="Arial" w:hAnsi="Arial" w:cs="Arial"/>
                <w:sz w:val="20"/>
              </w:rPr>
              <w:t xml:space="preserve">  </w:t>
            </w:r>
            <w:r w:rsidR="006308E5" w:rsidRPr="00BC22F7">
              <w:rPr>
                <w:rFonts w:ascii="Arial" w:hAnsi="Arial" w:cs="Arial"/>
                <w:sz w:val="20"/>
              </w:rPr>
              <w:t>2.87</w:t>
            </w:r>
          </w:p>
        </w:tc>
        <w:tc>
          <w:tcPr>
            <w:tcW w:w="1008" w:type="dxa"/>
          </w:tcPr>
          <w:p w:rsidR="00A952AF" w:rsidRPr="00BC22F7" w:rsidRDefault="00B82508" w:rsidP="00B82508">
            <w:pPr>
              <w:spacing w:after="0" w:line="240" w:lineRule="auto"/>
              <w:rPr>
                <w:rFonts w:ascii="Arial" w:hAnsi="Arial" w:cs="Arial"/>
                <w:sz w:val="20"/>
              </w:rPr>
            </w:pPr>
            <w:r w:rsidRPr="00BC22F7">
              <w:rPr>
                <w:rFonts w:ascii="Arial" w:hAnsi="Arial" w:cs="Arial"/>
                <w:sz w:val="20"/>
              </w:rPr>
              <w:t xml:space="preserve">  .85</w:t>
            </w:r>
          </w:p>
        </w:tc>
        <w:tc>
          <w:tcPr>
            <w:tcW w:w="1008" w:type="dxa"/>
          </w:tcPr>
          <w:p w:rsidR="00A952AF" w:rsidRPr="00BC22F7" w:rsidRDefault="006308E5" w:rsidP="008A213F">
            <w:pPr>
              <w:spacing w:after="0" w:line="240" w:lineRule="auto"/>
              <w:rPr>
                <w:rFonts w:ascii="Arial" w:hAnsi="Arial" w:cs="Arial"/>
                <w:sz w:val="20"/>
              </w:rPr>
            </w:pPr>
            <w:r w:rsidRPr="00BC22F7">
              <w:rPr>
                <w:rFonts w:ascii="Arial" w:hAnsi="Arial" w:cs="Arial"/>
                <w:sz w:val="20"/>
              </w:rPr>
              <w:t>3.18</w:t>
            </w:r>
            <w:r w:rsidR="00B96D6E" w:rsidRPr="00BC22F7">
              <w:rPr>
                <w:rFonts w:ascii="Arial" w:hAnsi="Arial" w:cs="Arial"/>
                <w:sz w:val="20"/>
              </w:rPr>
              <w:t>*</w:t>
            </w:r>
          </w:p>
        </w:tc>
        <w:tc>
          <w:tcPr>
            <w:tcW w:w="1008" w:type="dxa"/>
          </w:tcPr>
          <w:p w:rsidR="00A952AF" w:rsidRPr="00BC22F7" w:rsidRDefault="00B82508" w:rsidP="008A213F">
            <w:pPr>
              <w:spacing w:after="0" w:line="240" w:lineRule="auto"/>
              <w:rPr>
                <w:rFonts w:ascii="Arial" w:hAnsi="Arial" w:cs="Arial"/>
                <w:sz w:val="20"/>
              </w:rPr>
            </w:pPr>
            <w:r w:rsidRPr="00BC22F7">
              <w:rPr>
                <w:rFonts w:ascii="Arial" w:hAnsi="Arial" w:cs="Arial"/>
                <w:sz w:val="20"/>
              </w:rPr>
              <w:t>.81</w:t>
            </w:r>
          </w:p>
        </w:tc>
      </w:tr>
      <w:tr w:rsidR="00A952AF" w:rsidRPr="00BC22F7" w:rsidTr="001A5CA9">
        <w:tc>
          <w:tcPr>
            <w:tcW w:w="1800" w:type="dxa"/>
          </w:tcPr>
          <w:p w:rsidR="00A952AF" w:rsidRPr="00BC22F7" w:rsidRDefault="00A952AF" w:rsidP="006A5C4E">
            <w:pPr>
              <w:spacing w:after="0" w:line="240" w:lineRule="auto"/>
              <w:rPr>
                <w:rFonts w:ascii="Arial" w:hAnsi="Arial" w:cs="Arial"/>
                <w:sz w:val="20"/>
              </w:rPr>
            </w:pPr>
            <w:r w:rsidRPr="00BC22F7">
              <w:rPr>
                <w:rFonts w:ascii="Arial" w:hAnsi="Arial" w:cs="Arial"/>
                <w:sz w:val="20"/>
              </w:rPr>
              <w:t xml:space="preserve">  </w:t>
            </w:r>
            <w:r w:rsidR="001A5CA9" w:rsidRPr="00BC22F7">
              <w:rPr>
                <w:rFonts w:ascii="Arial" w:hAnsi="Arial" w:cs="Arial"/>
                <w:sz w:val="20"/>
              </w:rPr>
              <w:t>Non-PWD</w:t>
            </w:r>
          </w:p>
        </w:tc>
        <w:tc>
          <w:tcPr>
            <w:tcW w:w="1008" w:type="dxa"/>
          </w:tcPr>
          <w:p w:rsidR="00A952AF" w:rsidRPr="00BC22F7" w:rsidRDefault="006308E5" w:rsidP="0010579C">
            <w:pPr>
              <w:spacing w:after="0" w:line="240" w:lineRule="auto"/>
              <w:rPr>
                <w:rFonts w:ascii="Arial" w:hAnsi="Arial" w:cs="Arial"/>
                <w:sz w:val="20"/>
              </w:rPr>
            </w:pPr>
            <w:r w:rsidRPr="00BC22F7">
              <w:rPr>
                <w:rFonts w:ascii="Arial" w:hAnsi="Arial" w:cs="Arial"/>
                <w:sz w:val="20"/>
              </w:rPr>
              <w:t xml:space="preserve">  3.40</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.69</w:t>
            </w:r>
          </w:p>
        </w:tc>
        <w:tc>
          <w:tcPr>
            <w:tcW w:w="1008" w:type="dxa"/>
          </w:tcPr>
          <w:p w:rsidR="00A952AF" w:rsidRPr="00BC22F7" w:rsidRDefault="006308E5" w:rsidP="006308E5">
            <w:pPr>
              <w:spacing w:after="0" w:line="240" w:lineRule="auto"/>
              <w:rPr>
                <w:rFonts w:ascii="Arial" w:hAnsi="Arial" w:cs="Arial"/>
                <w:sz w:val="20"/>
              </w:rPr>
            </w:pPr>
            <w:r w:rsidRPr="00BC22F7">
              <w:rPr>
                <w:rFonts w:ascii="Arial" w:hAnsi="Arial" w:cs="Arial"/>
                <w:sz w:val="20"/>
              </w:rPr>
              <w:t xml:space="preserve">  3.19</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.81</w:t>
            </w:r>
          </w:p>
        </w:tc>
        <w:tc>
          <w:tcPr>
            <w:tcW w:w="1008" w:type="dxa"/>
          </w:tcPr>
          <w:p w:rsidR="00A952AF" w:rsidRPr="00BC22F7" w:rsidRDefault="006308E5" w:rsidP="006A5C4E">
            <w:pPr>
              <w:spacing w:after="0" w:line="240" w:lineRule="auto"/>
              <w:rPr>
                <w:rFonts w:ascii="Arial" w:hAnsi="Arial" w:cs="Arial"/>
                <w:sz w:val="20"/>
              </w:rPr>
            </w:pPr>
            <w:r w:rsidRPr="00BC22F7">
              <w:rPr>
                <w:rFonts w:ascii="Arial" w:hAnsi="Arial" w:cs="Arial"/>
                <w:sz w:val="20"/>
              </w:rPr>
              <w:t xml:space="preserve">  3.29</w:t>
            </w:r>
          </w:p>
        </w:tc>
        <w:tc>
          <w:tcPr>
            <w:tcW w:w="1008" w:type="dxa"/>
          </w:tcPr>
          <w:p w:rsidR="00A952AF" w:rsidRPr="00BC22F7" w:rsidRDefault="00B82508" w:rsidP="006A5C4E">
            <w:pPr>
              <w:spacing w:after="0" w:line="240" w:lineRule="auto"/>
              <w:rPr>
                <w:rFonts w:ascii="Arial" w:hAnsi="Arial" w:cs="Arial"/>
                <w:sz w:val="20"/>
              </w:rPr>
            </w:pPr>
            <w:r w:rsidRPr="00BC22F7">
              <w:rPr>
                <w:rFonts w:ascii="Arial" w:hAnsi="Arial" w:cs="Arial"/>
                <w:sz w:val="20"/>
              </w:rPr>
              <w:t>.72</w:t>
            </w:r>
          </w:p>
        </w:tc>
        <w:tc>
          <w:tcPr>
            <w:tcW w:w="1008" w:type="dxa"/>
          </w:tcPr>
          <w:p w:rsidR="00A952AF" w:rsidRPr="00BC22F7" w:rsidRDefault="00B82508" w:rsidP="00B96D6E">
            <w:pPr>
              <w:spacing w:after="0" w:line="240" w:lineRule="auto"/>
              <w:rPr>
                <w:rFonts w:ascii="Arial" w:hAnsi="Arial" w:cs="Arial"/>
                <w:sz w:val="20"/>
              </w:rPr>
            </w:pPr>
            <w:r w:rsidRPr="00BC22F7">
              <w:rPr>
                <w:rFonts w:ascii="Arial" w:hAnsi="Arial" w:cs="Arial"/>
                <w:sz w:val="20"/>
              </w:rPr>
              <w:t xml:space="preserve">  </w:t>
            </w:r>
            <w:r w:rsidR="006308E5" w:rsidRPr="00BC22F7">
              <w:rPr>
                <w:rFonts w:ascii="Arial" w:hAnsi="Arial" w:cs="Arial"/>
                <w:sz w:val="20"/>
              </w:rPr>
              <w:t>3.08</w:t>
            </w:r>
            <w:r w:rsidR="00B96D6E" w:rsidRPr="00BC22F7">
              <w:rPr>
                <w:rFonts w:ascii="Arial" w:hAnsi="Arial" w:cs="Arial"/>
                <w:sz w:val="20"/>
              </w:rPr>
              <w:t>*</w:t>
            </w:r>
          </w:p>
        </w:tc>
        <w:tc>
          <w:tcPr>
            <w:tcW w:w="1008" w:type="dxa"/>
          </w:tcPr>
          <w:p w:rsidR="00A952AF" w:rsidRPr="00BC22F7" w:rsidRDefault="00B82508" w:rsidP="006A5C4E">
            <w:pPr>
              <w:spacing w:after="0" w:line="240" w:lineRule="auto"/>
              <w:jc w:val="center"/>
              <w:rPr>
                <w:rFonts w:ascii="Arial" w:hAnsi="Arial" w:cs="Arial"/>
                <w:sz w:val="20"/>
              </w:rPr>
            </w:pPr>
            <w:r w:rsidRPr="00BC22F7">
              <w:rPr>
                <w:rFonts w:ascii="Arial" w:hAnsi="Arial" w:cs="Arial"/>
                <w:sz w:val="20"/>
              </w:rPr>
              <w:t>.91</w:t>
            </w:r>
          </w:p>
        </w:tc>
        <w:tc>
          <w:tcPr>
            <w:tcW w:w="1008" w:type="dxa"/>
          </w:tcPr>
          <w:p w:rsidR="00A952AF" w:rsidRPr="00BC22F7" w:rsidRDefault="00B96D6E" w:rsidP="00B96D6E">
            <w:pPr>
              <w:spacing w:after="0" w:line="240" w:lineRule="auto"/>
              <w:rPr>
                <w:rFonts w:ascii="Arial" w:hAnsi="Arial" w:cs="Arial"/>
                <w:sz w:val="20"/>
              </w:rPr>
            </w:pPr>
            <w:r w:rsidRPr="00BC22F7">
              <w:rPr>
                <w:rFonts w:ascii="Arial" w:hAnsi="Arial" w:cs="Arial"/>
                <w:sz w:val="20"/>
              </w:rPr>
              <w:t xml:space="preserve">  </w:t>
            </w:r>
            <w:r w:rsidR="006308E5" w:rsidRPr="00BC22F7">
              <w:rPr>
                <w:rFonts w:ascii="Arial" w:hAnsi="Arial" w:cs="Arial"/>
                <w:sz w:val="20"/>
              </w:rPr>
              <w:t>2.94</w:t>
            </w:r>
          </w:p>
        </w:tc>
        <w:tc>
          <w:tcPr>
            <w:tcW w:w="1008" w:type="dxa"/>
          </w:tcPr>
          <w:p w:rsidR="00A952AF" w:rsidRPr="00BC22F7" w:rsidRDefault="00B82508" w:rsidP="00B82508">
            <w:pPr>
              <w:spacing w:after="0" w:line="240" w:lineRule="auto"/>
              <w:rPr>
                <w:rFonts w:ascii="Arial" w:hAnsi="Arial" w:cs="Arial"/>
                <w:sz w:val="20"/>
              </w:rPr>
            </w:pPr>
            <w:r w:rsidRPr="00BC22F7">
              <w:rPr>
                <w:rFonts w:ascii="Arial" w:hAnsi="Arial" w:cs="Arial"/>
                <w:sz w:val="20"/>
              </w:rPr>
              <w:t xml:space="preserve">  .78</w:t>
            </w:r>
          </w:p>
        </w:tc>
        <w:tc>
          <w:tcPr>
            <w:tcW w:w="1008" w:type="dxa"/>
          </w:tcPr>
          <w:p w:rsidR="00A952AF" w:rsidRPr="00BC22F7" w:rsidRDefault="006308E5" w:rsidP="008A213F">
            <w:pPr>
              <w:spacing w:after="0" w:line="240" w:lineRule="auto"/>
              <w:rPr>
                <w:rFonts w:ascii="Arial" w:hAnsi="Arial" w:cs="Arial"/>
                <w:sz w:val="20"/>
              </w:rPr>
            </w:pPr>
            <w:r w:rsidRPr="00BC22F7">
              <w:rPr>
                <w:rFonts w:ascii="Arial" w:hAnsi="Arial" w:cs="Arial"/>
                <w:sz w:val="20"/>
              </w:rPr>
              <w:t>3.28</w:t>
            </w:r>
            <w:r w:rsidR="00B96D6E" w:rsidRPr="00BC22F7">
              <w:rPr>
                <w:rFonts w:ascii="Arial" w:hAnsi="Arial" w:cs="Arial"/>
                <w:sz w:val="20"/>
              </w:rPr>
              <w:t>*</w:t>
            </w:r>
          </w:p>
        </w:tc>
        <w:tc>
          <w:tcPr>
            <w:tcW w:w="1008" w:type="dxa"/>
          </w:tcPr>
          <w:p w:rsidR="00A952AF" w:rsidRPr="00BC22F7" w:rsidRDefault="00B82508" w:rsidP="008A213F">
            <w:pPr>
              <w:spacing w:after="0" w:line="240" w:lineRule="auto"/>
              <w:rPr>
                <w:rFonts w:ascii="Arial" w:hAnsi="Arial" w:cs="Arial"/>
                <w:sz w:val="20"/>
              </w:rPr>
            </w:pPr>
            <w:r w:rsidRPr="00BC22F7">
              <w:rPr>
                <w:rFonts w:ascii="Arial" w:hAnsi="Arial" w:cs="Arial"/>
                <w:sz w:val="20"/>
              </w:rPr>
              <w:t>.71</w:t>
            </w:r>
          </w:p>
        </w:tc>
      </w:tr>
      <w:tr w:rsidR="00A952AF" w:rsidRPr="00BC22F7" w:rsidTr="001A5CA9">
        <w:tc>
          <w:tcPr>
            <w:tcW w:w="1800" w:type="dxa"/>
          </w:tcPr>
          <w:p w:rsidR="00A952AF" w:rsidRPr="00BC22F7" w:rsidRDefault="00A952AF" w:rsidP="006A5C4E">
            <w:pPr>
              <w:spacing w:after="0" w:line="240" w:lineRule="auto"/>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r>
      <w:tr w:rsidR="00A952AF" w:rsidRPr="00BC22F7" w:rsidTr="001A5CA9">
        <w:tc>
          <w:tcPr>
            <w:tcW w:w="1800" w:type="dxa"/>
          </w:tcPr>
          <w:p w:rsidR="00A952AF" w:rsidRPr="00BC22F7" w:rsidRDefault="001A5CA9" w:rsidP="006A5C4E">
            <w:pPr>
              <w:spacing w:after="0" w:line="240" w:lineRule="auto"/>
              <w:rPr>
                <w:rFonts w:ascii="Arial" w:hAnsi="Arial" w:cs="Arial"/>
                <w:sz w:val="20"/>
                <w:u w:val="single"/>
              </w:rPr>
            </w:pPr>
            <w:r w:rsidRPr="00BC22F7">
              <w:rPr>
                <w:rFonts w:ascii="Arial" w:hAnsi="Arial" w:cs="Arial"/>
                <w:sz w:val="20"/>
                <w:u w:val="single"/>
              </w:rPr>
              <w:t>LGBT</w:t>
            </w: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r>
      <w:tr w:rsidR="00A952AF" w:rsidRPr="00BC22F7" w:rsidTr="001A5CA9">
        <w:tc>
          <w:tcPr>
            <w:tcW w:w="1800" w:type="dxa"/>
          </w:tcPr>
          <w:p w:rsidR="00A952AF" w:rsidRPr="00BC22F7" w:rsidRDefault="001A5CA9" w:rsidP="006A5C4E">
            <w:pPr>
              <w:spacing w:after="0" w:line="240" w:lineRule="auto"/>
              <w:rPr>
                <w:rFonts w:ascii="Arial" w:hAnsi="Arial" w:cs="Arial"/>
                <w:sz w:val="20"/>
              </w:rPr>
            </w:pPr>
            <w:r w:rsidRPr="00BC22F7">
              <w:rPr>
                <w:rFonts w:ascii="Arial" w:hAnsi="Arial" w:cs="Arial"/>
                <w:sz w:val="20"/>
              </w:rPr>
              <w:t xml:space="preserve">  LGBT</w:t>
            </w:r>
          </w:p>
        </w:tc>
        <w:tc>
          <w:tcPr>
            <w:tcW w:w="1008" w:type="dxa"/>
          </w:tcPr>
          <w:p w:rsidR="00A952AF" w:rsidRPr="00BC22F7" w:rsidRDefault="001774F0" w:rsidP="001774F0">
            <w:pPr>
              <w:spacing w:after="0" w:line="240" w:lineRule="auto"/>
              <w:rPr>
                <w:rFonts w:ascii="Arial" w:hAnsi="Arial" w:cs="Arial"/>
                <w:sz w:val="20"/>
              </w:rPr>
            </w:pPr>
            <w:r w:rsidRPr="00BC22F7">
              <w:rPr>
                <w:rFonts w:ascii="Arial" w:hAnsi="Arial" w:cs="Arial"/>
                <w:sz w:val="20"/>
              </w:rPr>
              <w:t xml:space="preserve">  3.34***</w:t>
            </w:r>
          </w:p>
        </w:tc>
        <w:tc>
          <w:tcPr>
            <w:tcW w:w="1008" w:type="dxa"/>
          </w:tcPr>
          <w:p w:rsidR="00A952AF" w:rsidRPr="00BC22F7" w:rsidRDefault="00BA05F2" w:rsidP="006A5C4E">
            <w:pPr>
              <w:spacing w:after="0" w:line="240" w:lineRule="auto"/>
              <w:rPr>
                <w:rFonts w:ascii="Arial" w:hAnsi="Arial" w:cs="Arial"/>
                <w:sz w:val="20"/>
              </w:rPr>
            </w:pPr>
            <w:r w:rsidRPr="00BC22F7">
              <w:rPr>
                <w:rFonts w:ascii="Arial" w:hAnsi="Arial" w:cs="Arial"/>
                <w:sz w:val="20"/>
              </w:rPr>
              <w:t>.76</w:t>
            </w:r>
          </w:p>
        </w:tc>
        <w:tc>
          <w:tcPr>
            <w:tcW w:w="1008" w:type="dxa"/>
          </w:tcPr>
          <w:p w:rsidR="00A952AF" w:rsidRPr="00BC22F7" w:rsidRDefault="001774F0" w:rsidP="001774F0">
            <w:pPr>
              <w:spacing w:after="0" w:line="240" w:lineRule="auto"/>
              <w:rPr>
                <w:rFonts w:ascii="Arial" w:hAnsi="Arial" w:cs="Arial"/>
                <w:sz w:val="20"/>
              </w:rPr>
            </w:pPr>
            <w:r w:rsidRPr="00BC22F7">
              <w:rPr>
                <w:rFonts w:ascii="Arial" w:hAnsi="Arial" w:cs="Arial"/>
                <w:sz w:val="20"/>
              </w:rPr>
              <w:t xml:space="preserve">  3.28***</w:t>
            </w:r>
          </w:p>
        </w:tc>
        <w:tc>
          <w:tcPr>
            <w:tcW w:w="1008" w:type="dxa"/>
          </w:tcPr>
          <w:p w:rsidR="00A952AF" w:rsidRPr="00BC22F7" w:rsidRDefault="00BA05F2" w:rsidP="006A5C4E">
            <w:pPr>
              <w:spacing w:after="0" w:line="240" w:lineRule="auto"/>
              <w:rPr>
                <w:rFonts w:ascii="Arial" w:hAnsi="Arial" w:cs="Arial"/>
                <w:sz w:val="20"/>
              </w:rPr>
            </w:pPr>
            <w:r w:rsidRPr="00BC22F7">
              <w:rPr>
                <w:rFonts w:ascii="Arial" w:hAnsi="Arial" w:cs="Arial"/>
                <w:sz w:val="20"/>
              </w:rPr>
              <w:t>.77</w:t>
            </w:r>
          </w:p>
        </w:tc>
        <w:tc>
          <w:tcPr>
            <w:tcW w:w="1008" w:type="dxa"/>
          </w:tcPr>
          <w:p w:rsidR="00A952AF" w:rsidRPr="00BC22F7" w:rsidRDefault="00801079" w:rsidP="006A5C4E">
            <w:pPr>
              <w:spacing w:after="0" w:line="240" w:lineRule="auto"/>
              <w:rPr>
                <w:rFonts w:ascii="Arial" w:hAnsi="Arial" w:cs="Arial"/>
                <w:sz w:val="20"/>
              </w:rPr>
            </w:pPr>
            <w:r w:rsidRPr="00BC22F7">
              <w:rPr>
                <w:rFonts w:ascii="Arial" w:hAnsi="Arial" w:cs="Arial"/>
                <w:sz w:val="20"/>
              </w:rPr>
              <w:t xml:space="preserve">  3.31</w:t>
            </w:r>
          </w:p>
        </w:tc>
        <w:tc>
          <w:tcPr>
            <w:tcW w:w="1008" w:type="dxa"/>
          </w:tcPr>
          <w:p w:rsidR="00A952AF" w:rsidRPr="00BC22F7" w:rsidRDefault="00BA05F2" w:rsidP="006A5C4E">
            <w:pPr>
              <w:spacing w:after="0" w:line="240" w:lineRule="auto"/>
              <w:rPr>
                <w:rFonts w:ascii="Arial" w:hAnsi="Arial" w:cs="Arial"/>
                <w:sz w:val="20"/>
              </w:rPr>
            </w:pPr>
            <w:r w:rsidRPr="00BC22F7">
              <w:rPr>
                <w:rFonts w:ascii="Arial" w:hAnsi="Arial" w:cs="Arial"/>
                <w:sz w:val="20"/>
              </w:rPr>
              <w:t>.72</w:t>
            </w:r>
          </w:p>
        </w:tc>
        <w:tc>
          <w:tcPr>
            <w:tcW w:w="1008" w:type="dxa"/>
          </w:tcPr>
          <w:p w:rsidR="00A952AF" w:rsidRPr="00BC22F7" w:rsidRDefault="00801079" w:rsidP="00801079">
            <w:pPr>
              <w:spacing w:after="0" w:line="240" w:lineRule="auto"/>
              <w:rPr>
                <w:rFonts w:ascii="Arial" w:hAnsi="Arial" w:cs="Arial"/>
                <w:iCs/>
                <w:sz w:val="20"/>
              </w:rPr>
            </w:pPr>
            <w:r w:rsidRPr="00BC22F7">
              <w:rPr>
                <w:rFonts w:ascii="Arial" w:hAnsi="Arial" w:cs="Arial"/>
                <w:iCs/>
                <w:sz w:val="20"/>
              </w:rPr>
              <w:t xml:space="preserve">  3.26***</w:t>
            </w:r>
          </w:p>
        </w:tc>
        <w:tc>
          <w:tcPr>
            <w:tcW w:w="1008" w:type="dxa"/>
          </w:tcPr>
          <w:p w:rsidR="00A952AF" w:rsidRPr="00BC22F7" w:rsidRDefault="00BA05F2" w:rsidP="006A5C4E">
            <w:pPr>
              <w:spacing w:after="0" w:line="240" w:lineRule="auto"/>
              <w:jc w:val="center"/>
              <w:rPr>
                <w:rFonts w:ascii="Arial" w:hAnsi="Arial" w:cs="Arial"/>
                <w:sz w:val="20"/>
              </w:rPr>
            </w:pPr>
            <w:r w:rsidRPr="00BC22F7">
              <w:rPr>
                <w:rFonts w:ascii="Arial" w:hAnsi="Arial" w:cs="Arial"/>
                <w:sz w:val="20"/>
              </w:rPr>
              <w:t>.91</w:t>
            </w:r>
          </w:p>
        </w:tc>
        <w:tc>
          <w:tcPr>
            <w:tcW w:w="1008" w:type="dxa"/>
          </w:tcPr>
          <w:p w:rsidR="00A952AF" w:rsidRPr="00BC22F7" w:rsidRDefault="00801079" w:rsidP="008A213F">
            <w:pPr>
              <w:spacing w:after="0" w:line="240" w:lineRule="auto"/>
              <w:jc w:val="center"/>
              <w:rPr>
                <w:rFonts w:ascii="Arial" w:hAnsi="Arial" w:cs="Arial"/>
                <w:sz w:val="20"/>
              </w:rPr>
            </w:pPr>
            <w:r w:rsidRPr="00BC22F7">
              <w:rPr>
                <w:rFonts w:ascii="Arial" w:hAnsi="Arial" w:cs="Arial"/>
                <w:sz w:val="20"/>
              </w:rPr>
              <w:t>2.83***</w:t>
            </w:r>
          </w:p>
        </w:tc>
        <w:tc>
          <w:tcPr>
            <w:tcW w:w="1008" w:type="dxa"/>
          </w:tcPr>
          <w:p w:rsidR="00A952AF" w:rsidRPr="00BC22F7" w:rsidRDefault="00BA05F2" w:rsidP="00BA05F2">
            <w:pPr>
              <w:spacing w:after="0" w:line="240" w:lineRule="auto"/>
              <w:rPr>
                <w:rFonts w:ascii="Arial" w:hAnsi="Arial" w:cs="Arial"/>
                <w:sz w:val="20"/>
              </w:rPr>
            </w:pPr>
            <w:r w:rsidRPr="00BC22F7">
              <w:rPr>
                <w:rFonts w:ascii="Arial" w:hAnsi="Arial" w:cs="Arial"/>
                <w:sz w:val="20"/>
              </w:rPr>
              <w:t xml:space="preserve">  .83</w:t>
            </w:r>
          </w:p>
        </w:tc>
        <w:tc>
          <w:tcPr>
            <w:tcW w:w="1008" w:type="dxa"/>
          </w:tcPr>
          <w:p w:rsidR="00A952AF" w:rsidRPr="00BC22F7" w:rsidRDefault="00801079" w:rsidP="008A213F">
            <w:pPr>
              <w:spacing w:after="0" w:line="240" w:lineRule="auto"/>
              <w:rPr>
                <w:rFonts w:ascii="Arial" w:hAnsi="Arial" w:cs="Arial"/>
                <w:sz w:val="20"/>
              </w:rPr>
            </w:pPr>
            <w:r w:rsidRPr="00BC22F7">
              <w:rPr>
                <w:rFonts w:ascii="Arial" w:hAnsi="Arial" w:cs="Arial"/>
                <w:sz w:val="20"/>
              </w:rPr>
              <w:t>3.15***</w:t>
            </w:r>
          </w:p>
        </w:tc>
        <w:tc>
          <w:tcPr>
            <w:tcW w:w="1008" w:type="dxa"/>
          </w:tcPr>
          <w:p w:rsidR="00A952AF" w:rsidRPr="00BC22F7" w:rsidRDefault="00BA05F2" w:rsidP="008A213F">
            <w:pPr>
              <w:spacing w:after="0" w:line="240" w:lineRule="auto"/>
              <w:rPr>
                <w:rFonts w:ascii="Arial" w:hAnsi="Arial" w:cs="Arial"/>
                <w:sz w:val="20"/>
              </w:rPr>
            </w:pPr>
            <w:r w:rsidRPr="00BC22F7">
              <w:rPr>
                <w:rFonts w:ascii="Arial" w:hAnsi="Arial" w:cs="Arial"/>
                <w:sz w:val="20"/>
              </w:rPr>
              <w:t>.80</w:t>
            </w:r>
          </w:p>
        </w:tc>
      </w:tr>
      <w:tr w:rsidR="00A952AF" w:rsidRPr="00BC22F7" w:rsidTr="001A5CA9">
        <w:tc>
          <w:tcPr>
            <w:tcW w:w="1800" w:type="dxa"/>
          </w:tcPr>
          <w:p w:rsidR="00A952AF" w:rsidRPr="00BC22F7" w:rsidRDefault="001A5CA9" w:rsidP="006A5C4E">
            <w:pPr>
              <w:spacing w:after="0" w:line="240" w:lineRule="auto"/>
              <w:rPr>
                <w:rFonts w:ascii="Arial" w:hAnsi="Arial" w:cs="Arial"/>
                <w:sz w:val="20"/>
              </w:rPr>
            </w:pPr>
            <w:r w:rsidRPr="00BC22F7">
              <w:rPr>
                <w:rFonts w:ascii="Arial" w:hAnsi="Arial" w:cs="Arial"/>
                <w:sz w:val="20"/>
              </w:rPr>
              <w:t xml:space="preserve">  Non-LGBT</w:t>
            </w:r>
          </w:p>
        </w:tc>
        <w:tc>
          <w:tcPr>
            <w:tcW w:w="1008" w:type="dxa"/>
          </w:tcPr>
          <w:p w:rsidR="00A952AF" w:rsidRPr="00BC22F7" w:rsidRDefault="001774F0" w:rsidP="001774F0">
            <w:pPr>
              <w:spacing w:after="0" w:line="240" w:lineRule="auto"/>
              <w:rPr>
                <w:rFonts w:ascii="Arial" w:hAnsi="Arial" w:cs="Arial"/>
                <w:sz w:val="20"/>
              </w:rPr>
            </w:pPr>
            <w:r w:rsidRPr="00BC22F7">
              <w:rPr>
                <w:rFonts w:ascii="Arial" w:hAnsi="Arial" w:cs="Arial"/>
                <w:sz w:val="20"/>
              </w:rPr>
              <w:t xml:space="preserve">  3</w:t>
            </w:r>
            <w:r w:rsidR="00A952AF" w:rsidRPr="00BC22F7">
              <w:rPr>
                <w:rFonts w:ascii="Arial" w:hAnsi="Arial" w:cs="Arial"/>
                <w:sz w:val="20"/>
              </w:rPr>
              <w:t>.</w:t>
            </w:r>
            <w:r w:rsidRPr="00BC22F7">
              <w:rPr>
                <w:rFonts w:ascii="Arial" w:hAnsi="Arial" w:cs="Arial"/>
                <w:sz w:val="20"/>
              </w:rPr>
              <w:t>46***</w:t>
            </w:r>
          </w:p>
        </w:tc>
        <w:tc>
          <w:tcPr>
            <w:tcW w:w="1008" w:type="dxa"/>
          </w:tcPr>
          <w:p w:rsidR="00A952AF" w:rsidRPr="00BC22F7" w:rsidRDefault="000455FA" w:rsidP="006A5C4E">
            <w:pPr>
              <w:spacing w:after="0" w:line="240" w:lineRule="auto"/>
              <w:rPr>
                <w:rFonts w:ascii="Arial" w:hAnsi="Arial" w:cs="Arial"/>
                <w:sz w:val="20"/>
              </w:rPr>
            </w:pPr>
            <w:r w:rsidRPr="00BC22F7">
              <w:rPr>
                <w:rFonts w:ascii="Arial" w:hAnsi="Arial" w:cs="Arial"/>
                <w:sz w:val="20"/>
              </w:rPr>
              <w:t>.69</w:t>
            </w:r>
          </w:p>
        </w:tc>
        <w:tc>
          <w:tcPr>
            <w:tcW w:w="1008" w:type="dxa"/>
          </w:tcPr>
          <w:p w:rsidR="00A952AF" w:rsidRPr="00BC22F7" w:rsidRDefault="001774F0" w:rsidP="001774F0">
            <w:pPr>
              <w:spacing w:after="0" w:line="240" w:lineRule="auto"/>
              <w:rPr>
                <w:rFonts w:ascii="Arial" w:hAnsi="Arial" w:cs="Arial"/>
                <w:sz w:val="20"/>
              </w:rPr>
            </w:pPr>
            <w:r w:rsidRPr="00BC22F7">
              <w:rPr>
                <w:rFonts w:ascii="Arial" w:hAnsi="Arial" w:cs="Arial"/>
                <w:sz w:val="20"/>
              </w:rPr>
              <w:t xml:space="preserve">  3.12***</w:t>
            </w:r>
          </w:p>
        </w:tc>
        <w:tc>
          <w:tcPr>
            <w:tcW w:w="1008" w:type="dxa"/>
          </w:tcPr>
          <w:p w:rsidR="00A952AF" w:rsidRPr="00BC22F7" w:rsidRDefault="000455FA" w:rsidP="006A5C4E">
            <w:pPr>
              <w:spacing w:after="0" w:line="240" w:lineRule="auto"/>
              <w:rPr>
                <w:rFonts w:ascii="Arial" w:hAnsi="Arial" w:cs="Arial"/>
                <w:sz w:val="20"/>
              </w:rPr>
            </w:pPr>
            <w:r w:rsidRPr="00BC22F7">
              <w:rPr>
                <w:rFonts w:ascii="Arial" w:hAnsi="Arial" w:cs="Arial"/>
                <w:sz w:val="20"/>
              </w:rPr>
              <w:t>.81</w:t>
            </w:r>
          </w:p>
        </w:tc>
        <w:tc>
          <w:tcPr>
            <w:tcW w:w="1008" w:type="dxa"/>
          </w:tcPr>
          <w:p w:rsidR="00A952AF" w:rsidRPr="00BC22F7" w:rsidRDefault="00801079" w:rsidP="006A5C4E">
            <w:pPr>
              <w:spacing w:after="0" w:line="240" w:lineRule="auto"/>
              <w:rPr>
                <w:rFonts w:ascii="Arial" w:hAnsi="Arial" w:cs="Arial"/>
                <w:sz w:val="20"/>
              </w:rPr>
            </w:pPr>
            <w:r w:rsidRPr="00BC22F7">
              <w:rPr>
                <w:rFonts w:ascii="Arial" w:hAnsi="Arial" w:cs="Arial"/>
                <w:sz w:val="20"/>
              </w:rPr>
              <w:t xml:space="preserve">  3.34</w:t>
            </w:r>
          </w:p>
        </w:tc>
        <w:tc>
          <w:tcPr>
            <w:tcW w:w="1008" w:type="dxa"/>
          </w:tcPr>
          <w:p w:rsidR="00A952AF" w:rsidRPr="00BC22F7" w:rsidRDefault="000455FA" w:rsidP="006A5C4E">
            <w:pPr>
              <w:spacing w:after="0" w:line="240" w:lineRule="auto"/>
              <w:rPr>
                <w:rFonts w:ascii="Arial" w:hAnsi="Arial" w:cs="Arial"/>
                <w:sz w:val="20"/>
              </w:rPr>
            </w:pPr>
            <w:r w:rsidRPr="00BC22F7">
              <w:rPr>
                <w:rFonts w:ascii="Arial" w:hAnsi="Arial" w:cs="Arial"/>
                <w:sz w:val="20"/>
              </w:rPr>
              <w:t>.73</w:t>
            </w:r>
          </w:p>
        </w:tc>
        <w:tc>
          <w:tcPr>
            <w:tcW w:w="1008" w:type="dxa"/>
          </w:tcPr>
          <w:p w:rsidR="00A952AF" w:rsidRPr="00BC22F7" w:rsidRDefault="00801079" w:rsidP="00801079">
            <w:pPr>
              <w:spacing w:after="0" w:line="240" w:lineRule="auto"/>
              <w:rPr>
                <w:rFonts w:ascii="Arial" w:hAnsi="Arial" w:cs="Arial"/>
                <w:iCs/>
                <w:sz w:val="20"/>
              </w:rPr>
            </w:pPr>
            <w:r w:rsidRPr="00BC22F7">
              <w:rPr>
                <w:rFonts w:ascii="Arial" w:hAnsi="Arial" w:cs="Arial"/>
                <w:iCs/>
                <w:sz w:val="20"/>
              </w:rPr>
              <w:t xml:space="preserve">  3.01***</w:t>
            </w:r>
          </w:p>
        </w:tc>
        <w:tc>
          <w:tcPr>
            <w:tcW w:w="1008" w:type="dxa"/>
          </w:tcPr>
          <w:p w:rsidR="00A952AF" w:rsidRPr="00BC22F7" w:rsidRDefault="000455FA" w:rsidP="006A5C4E">
            <w:pPr>
              <w:spacing w:after="0" w:line="240" w:lineRule="auto"/>
              <w:jc w:val="center"/>
              <w:rPr>
                <w:rFonts w:ascii="Arial" w:hAnsi="Arial" w:cs="Arial"/>
                <w:sz w:val="20"/>
              </w:rPr>
            </w:pPr>
            <w:r w:rsidRPr="00BC22F7">
              <w:rPr>
                <w:rFonts w:ascii="Arial" w:hAnsi="Arial" w:cs="Arial"/>
                <w:sz w:val="20"/>
              </w:rPr>
              <w:t>.91</w:t>
            </w:r>
          </w:p>
        </w:tc>
        <w:tc>
          <w:tcPr>
            <w:tcW w:w="1008" w:type="dxa"/>
          </w:tcPr>
          <w:p w:rsidR="00A952AF" w:rsidRPr="00BC22F7" w:rsidRDefault="00801079" w:rsidP="008A213F">
            <w:pPr>
              <w:spacing w:after="0" w:line="240" w:lineRule="auto"/>
              <w:jc w:val="center"/>
              <w:rPr>
                <w:rFonts w:ascii="Arial" w:hAnsi="Arial" w:cs="Arial"/>
                <w:sz w:val="20"/>
              </w:rPr>
            </w:pPr>
            <w:r w:rsidRPr="00BC22F7">
              <w:rPr>
                <w:rFonts w:ascii="Arial" w:hAnsi="Arial" w:cs="Arial"/>
                <w:sz w:val="20"/>
              </w:rPr>
              <w:t>2.98***</w:t>
            </w:r>
          </w:p>
        </w:tc>
        <w:tc>
          <w:tcPr>
            <w:tcW w:w="1008" w:type="dxa"/>
          </w:tcPr>
          <w:p w:rsidR="00A952AF" w:rsidRPr="00BC22F7" w:rsidRDefault="000455FA" w:rsidP="000455FA">
            <w:pPr>
              <w:spacing w:after="0" w:line="240" w:lineRule="auto"/>
              <w:rPr>
                <w:rFonts w:ascii="Arial" w:hAnsi="Arial" w:cs="Arial"/>
                <w:sz w:val="20"/>
              </w:rPr>
            </w:pPr>
            <w:r w:rsidRPr="00BC22F7">
              <w:rPr>
                <w:rFonts w:ascii="Arial" w:hAnsi="Arial" w:cs="Arial"/>
                <w:sz w:val="20"/>
              </w:rPr>
              <w:t xml:space="preserve">  .78</w:t>
            </w:r>
          </w:p>
        </w:tc>
        <w:tc>
          <w:tcPr>
            <w:tcW w:w="1008" w:type="dxa"/>
          </w:tcPr>
          <w:p w:rsidR="00A952AF" w:rsidRPr="00BC22F7" w:rsidRDefault="00801079" w:rsidP="008A213F">
            <w:pPr>
              <w:spacing w:after="0" w:line="240" w:lineRule="auto"/>
              <w:rPr>
                <w:rFonts w:ascii="Arial" w:hAnsi="Arial" w:cs="Arial"/>
                <w:sz w:val="20"/>
              </w:rPr>
            </w:pPr>
            <w:r w:rsidRPr="00BC22F7">
              <w:rPr>
                <w:rFonts w:ascii="Arial" w:hAnsi="Arial" w:cs="Arial"/>
                <w:sz w:val="20"/>
              </w:rPr>
              <w:t>3.31***</w:t>
            </w:r>
          </w:p>
        </w:tc>
        <w:tc>
          <w:tcPr>
            <w:tcW w:w="1008" w:type="dxa"/>
          </w:tcPr>
          <w:p w:rsidR="00A952AF" w:rsidRPr="00BC22F7" w:rsidRDefault="000455FA" w:rsidP="008A213F">
            <w:pPr>
              <w:spacing w:after="0" w:line="240" w:lineRule="auto"/>
              <w:rPr>
                <w:rFonts w:ascii="Arial" w:hAnsi="Arial" w:cs="Arial"/>
                <w:sz w:val="20"/>
              </w:rPr>
            </w:pPr>
            <w:r w:rsidRPr="00BC22F7">
              <w:rPr>
                <w:rFonts w:ascii="Arial" w:hAnsi="Arial" w:cs="Arial"/>
                <w:sz w:val="20"/>
              </w:rPr>
              <w:t>.71</w:t>
            </w:r>
          </w:p>
        </w:tc>
      </w:tr>
      <w:tr w:rsidR="00A952AF" w:rsidRPr="00BC22F7" w:rsidTr="001A5CA9">
        <w:tc>
          <w:tcPr>
            <w:tcW w:w="1800" w:type="dxa"/>
          </w:tcPr>
          <w:p w:rsidR="00A952AF" w:rsidRPr="00BC22F7" w:rsidRDefault="00A952AF" w:rsidP="006A5C4E">
            <w:pPr>
              <w:spacing w:after="0" w:line="240" w:lineRule="auto"/>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6A5C4E">
            <w:pPr>
              <w:spacing w:after="0" w:line="240" w:lineRule="auto"/>
              <w:jc w:val="center"/>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c>
          <w:tcPr>
            <w:tcW w:w="1008" w:type="dxa"/>
          </w:tcPr>
          <w:p w:rsidR="00A952AF" w:rsidRPr="00BC22F7" w:rsidRDefault="00A952AF" w:rsidP="008A213F">
            <w:pPr>
              <w:spacing w:after="0" w:line="240" w:lineRule="auto"/>
              <w:rPr>
                <w:rFonts w:ascii="Arial" w:hAnsi="Arial" w:cs="Arial"/>
                <w:sz w:val="20"/>
              </w:rPr>
            </w:pPr>
          </w:p>
        </w:tc>
      </w:tr>
    </w:tbl>
    <w:p w:rsidR="001A5CA9" w:rsidRPr="00BC22F7" w:rsidRDefault="001A5CA9" w:rsidP="006A5C4E">
      <w:pPr>
        <w:spacing w:after="0" w:line="240" w:lineRule="auto"/>
        <w:rPr>
          <w:rFonts w:ascii="Arial" w:hAnsi="Arial" w:cs="Arial"/>
          <w:i/>
          <w:iCs/>
          <w:sz w:val="20"/>
        </w:rPr>
      </w:pPr>
    </w:p>
    <w:p w:rsidR="006A5C4E" w:rsidRPr="00F45E80" w:rsidRDefault="006A5C4E" w:rsidP="006A5C4E">
      <w:pPr>
        <w:spacing w:after="0" w:line="240" w:lineRule="auto"/>
        <w:rPr>
          <w:rFonts w:ascii="Arial" w:hAnsi="Arial" w:cs="Arial"/>
          <w:i/>
          <w:iCs/>
          <w:sz w:val="20"/>
        </w:rPr>
      </w:pPr>
      <w:r w:rsidRPr="00BC22F7">
        <w:rPr>
          <w:rFonts w:ascii="Arial" w:hAnsi="Arial" w:cs="Arial"/>
          <w:i/>
          <w:iCs/>
          <w:sz w:val="20"/>
        </w:rPr>
        <w:t>***p&lt;.001, **p&lt;.01, *p&lt;.05</w:t>
      </w:r>
    </w:p>
    <w:p w:rsidR="006A5C4E" w:rsidRPr="00F45E80" w:rsidRDefault="006A5C4E" w:rsidP="008A026D">
      <w:pPr>
        <w:spacing w:after="0" w:line="240" w:lineRule="auto"/>
        <w:ind w:left="284" w:hanging="284"/>
        <w:rPr>
          <w:rFonts w:ascii="Tahoma" w:hAnsi="Tahoma" w:cs="Tahoma"/>
          <w:bCs/>
          <w:sz w:val="23"/>
          <w:szCs w:val="23"/>
        </w:rPr>
      </w:pPr>
    </w:p>
    <w:sectPr w:rsidR="006A5C4E" w:rsidRPr="00F45E80" w:rsidSect="00275907">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6BC" w:rsidRDefault="004D36BC" w:rsidP="00F63AC9">
      <w:pPr>
        <w:spacing w:after="0" w:line="240" w:lineRule="auto"/>
      </w:pPr>
      <w:r>
        <w:separator/>
      </w:r>
    </w:p>
  </w:endnote>
  <w:endnote w:type="continuationSeparator" w:id="0">
    <w:p w:rsidR="004D36BC" w:rsidRDefault="004D36BC" w:rsidP="00F63A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2243"/>
      <w:docPartObj>
        <w:docPartGallery w:val="Page Numbers (Bottom of Page)"/>
        <w:docPartUnique/>
      </w:docPartObj>
    </w:sdtPr>
    <w:sdtEndPr>
      <w:rPr>
        <w:rFonts w:ascii="Tahoma" w:hAnsi="Tahoma" w:cs="Tahoma"/>
      </w:rPr>
    </w:sdtEndPr>
    <w:sdtContent>
      <w:p w:rsidR="00404B57" w:rsidRPr="00AD12C9" w:rsidRDefault="00404B57">
        <w:pPr>
          <w:pStyle w:val="Footer"/>
          <w:jc w:val="right"/>
          <w:rPr>
            <w:rFonts w:ascii="Tahoma" w:hAnsi="Tahoma" w:cs="Tahoma"/>
          </w:rPr>
        </w:pPr>
        <w:r w:rsidRPr="00AD12C9">
          <w:rPr>
            <w:rFonts w:ascii="Tahoma" w:hAnsi="Tahoma" w:cs="Tahoma"/>
          </w:rPr>
          <w:fldChar w:fldCharType="begin"/>
        </w:r>
        <w:r w:rsidRPr="00AD12C9">
          <w:rPr>
            <w:rFonts w:ascii="Tahoma" w:hAnsi="Tahoma" w:cs="Tahoma"/>
          </w:rPr>
          <w:instrText xml:space="preserve"> PAGE   \* MERGEFORMAT </w:instrText>
        </w:r>
        <w:r w:rsidRPr="00AD12C9">
          <w:rPr>
            <w:rFonts w:ascii="Tahoma" w:hAnsi="Tahoma" w:cs="Tahoma"/>
          </w:rPr>
          <w:fldChar w:fldCharType="separate"/>
        </w:r>
        <w:r w:rsidR="00BC22F7">
          <w:rPr>
            <w:rFonts w:ascii="Tahoma" w:hAnsi="Tahoma" w:cs="Tahoma"/>
            <w:noProof/>
          </w:rPr>
          <w:t>17</w:t>
        </w:r>
        <w:r w:rsidRPr="00AD12C9">
          <w:rPr>
            <w:rFonts w:ascii="Tahoma" w:hAnsi="Tahoma" w:cs="Tahoma"/>
          </w:rPr>
          <w:fldChar w:fldCharType="end"/>
        </w:r>
      </w:p>
    </w:sdtContent>
  </w:sdt>
  <w:p w:rsidR="00404B57" w:rsidRDefault="00404B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6BC" w:rsidRDefault="004D36BC" w:rsidP="00F63AC9">
      <w:pPr>
        <w:spacing w:after="0" w:line="240" w:lineRule="auto"/>
      </w:pPr>
      <w:r>
        <w:separator/>
      </w:r>
    </w:p>
  </w:footnote>
  <w:footnote w:type="continuationSeparator" w:id="0">
    <w:p w:rsidR="004D36BC" w:rsidRDefault="004D36BC" w:rsidP="00F63AC9">
      <w:pPr>
        <w:spacing w:after="0" w:line="240" w:lineRule="auto"/>
      </w:pPr>
      <w:r>
        <w:continuationSeparator/>
      </w:r>
    </w:p>
  </w:footnote>
  <w:footnote w:id="1">
    <w:p w:rsidR="00404B57" w:rsidRPr="00F1243F" w:rsidRDefault="00404B57">
      <w:pPr>
        <w:pStyle w:val="FootnoteText"/>
        <w:rPr>
          <w:lang w:val="en-US"/>
        </w:rPr>
      </w:pPr>
      <w:r>
        <w:rPr>
          <w:rStyle w:val="FootnoteReference"/>
        </w:rPr>
        <w:footnoteRef/>
      </w:r>
      <w:r>
        <w:t xml:space="preserve"> </w:t>
      </w:r>
      <w:r>
        <w:rPr>
          <w:rFonts w:ascii="Tahoma" w:hAnsi="Tahoma" w:cs="Tahoma"/>
          <w:sz w:val="23"/>
          <w:szCs w:val="23"/>
        </w:rPr>
        <w:t>“</w:t>
      </w:r>
      <w:r w:rsidRPr="00771FE6">
        <w:rPr>
          <w:rFonts w:ascii="Tahoma" w:hAnsi="Tahoma" w:cs="Tahoma"/>
        </w:rPr>
        <w:t>Visible minorities” is the term used in Canada to refer to racial or ethnic minorities. It includes anyone who is non-Caucasian in race and non-White in color.</w:t>
      </w:r>
      <w:r>
        <w:rPr>
          <w:rFonts w:ascii="Tahoma" w:hAnsi="Tahoma" w:cs="Tahoma"/>
          <w:sz w:val="23"/>
          <w:szCs w:val="23"/>
        </w:rPr>
        <w:t xml:space="preserve"> </w:t>
      </w:r>
    </w:p>
  </w:footnote>
  <w:footnote w:id="2">
    <w:p w:rsidR="00404B57" w:rsidRPr="006262F0" w:rsidRDefault="00404B57">
      <w:pPr>
        <w:pStyle w:val="FootnoteText"/>
        <w:rPr>
          <w:rFonts w:ascii="Tahoma" w:hAnsi="Tahoma" w:cs="Tahoma"/>
          <w:lang w:val="en-US"/>
        </w:rPr>
      </w:pPr>
      <w:r w:rsidRPr="00771FE6">
        <w:rPr>
          <w:rStyle w:val="FootnoteReference"/>
          <w:rFonts w:ascii="Tahoma" w:hAnsi="Tahoma" w:cs="Tahoma"/>
        </w:rPr>
        <w:footnoteRef/>
      </w:r>
      <w:r w:rsidRPr="00771FE6">
        <w:rPr>
          <w:rFonts w:ascii="Tahoma" w:hAnsi="Tahoma" w:cs="Tahoma"/>
        </w:rPr>
        <w:t xml:space="preserve"> In addition to increasing diversity to enhance competitiveness (Cox </w:t>
      </w:r>
      <w:r>
        <w:rPr>
          <w:rFonts w:ascii="Tahoma" w:hAnsi="Tahoma" w:cs="Tahoma"/>
        </w:rPr>
        <w:t>&amp;</w:t>
      </w:r>
      <w:r w:rsidRPr="00771FE6">
        <w:rPr>
          <w:rFonts w:ascii="Tahoma" w:hAnsi="Tahoma" w:cs="Tahoma"/>
        </w:rPr>
        <w:t xml:space="preserve"> Blake</w:t>
      </w:r>
      <w:r>
        <w:rPr>
          <w:rFonts w:ascii="Tahoma" w:hAnsi="Tahoma" w:cs="Tahoma"/>
        </w:rPr>
        <w:t>, 1991</w:t>
      </w:r>
      <w:r w:rsidRPr="00771FE6">
        <w:rPr>
          <w:rFonts w:ascii="Tahoma" w:hAnsi="Tahoma" w:cs="Tahoma"/>
        </w:rPr>
        <w:t>)</w:t>
      </w:r>
      <w:r>
        <w:rPr>
          <w:rFonts w:ascii="Tahoma" w:hAnsi="Tahoma" w:cs="Tahoma"/>
        </w:rPr>
        <w:t xml:space="preserve">, federally regulated private sector employers are also actively recruiting workers from underrepresented groups to comply with requirements of the Employment Equity Act. </w:t>
      </w:r>
      <w:r w:rsidRPr="00771FE6">
        <w:rPr>
          <w:rFonts w:ascii="Tahoma" w:hAnsi="Tahoma" w:cs="Tahoma"/>
        </w:rPr>
        <w:t xml:space="preserve"> </w:t>
      </w:r>
    </w:p>
  </w:footnote>
  <w:footnote w:id="3">
    <w:p w:rsidR="00404B57" w:rsidRDefault="00404B57" w:rsidP="007E2B9C">
      <w:pPr>
        <w:pStyle w:val="FootnoteText"/>
      </w:pPr>
      <w:r>
        <w:rPr>
          <w:rStyle w:val="FootnoteReference"/>
        </w:rPr>
        <w:footnoteRef/>
      </w:r>
      <w:r>
        <w:t xml:space="preserve"> </w:t>
      </w:r>
      <w:r w:rsidRPr="00F27986">
        <w:rPr>
          <w:rFonts w:ascii="Tahoma" w:hAnsi="Tahoma" w:cs="Tahoma"/>
        </w:rPr>
        <w:t xml:space="preserve">In </w:t>
      </w:r>
      <w:r w:rsidRPr="00F27986">
        <w:rPr>
          <w:rFonts w:ascii="Tahoma" w:hAnsi="Tahoma" w:cs="Tahoma"/>
          <w:i/>
        </w:rPr>
        <w:t>Egan v. Canada</w:t>
      </w:r>
      <w:r>
        <w:rPr>
          <w:rFonts w:ascii="Tahoma" w:hAnsi="Tahoma" w:cs="Tahoma"/>
        </w:rPr>
        <w:t xml:space="preserve"> [1995]</w:t>
      </w:r>
      <w:r w:rsidRPr="00F27986">
        <w:rPr>
          <w:rFonts w:ascii="Tahoma" w:hAnsi="Tahoma" w:cs="Tahoma"/>
        </w:rPr>
        <w:t xml:space="preserve">, the Supreme Court of Canada </w:t>
      </w:r>
      <w:r w:rsidRPr="00F27986">
        <w:rPr>
          <w:rFonts w:ascii="Tahoma" w:hAnsi="Tahoma" w:cs="Tahoma"/>
          <w:color w:val="000000"/>
          <w:shd w:val="clear" w:color="auto" w:fill="FFFFFF"/>
        </w:rPr>
        <w:t>established that sexual orientation constitutes a prohibited basis of discrimination under</w:t>
      </w:r>
      <w:r w:rsidRPr="00F27986">
        <w:rPr>
          <w:rStyle w:val="apple-converted-space"/>
          <w:rFonts w:ascii="Tahoma" w:hAnsi="Tahoma" w:cs="Tahoma"/>
          <w:color w:val="000000"/>
          <w:shd w:val="clear" w:color="auto" w:fill="FFFFFF"/>
        </w:rPr>
        <w:t> </w:t>
      </w:r>
      <w:r w:rsidRPr="00F27986">
        <w:rPr>
          <w:rFonts w:ascii="Tahoma" w:hAnsi="Tahoma" w:cs="Tahoma"/>
        </w:rPr>
        <w:t>Section 15</w:t>
      </w:r>
      <w:r w:rsidRPr="00F27986">
        <w:rPr>
          <w:rStyle w:val="apple-converted-space"/>
          <w:rFonts w:ascii="Tahoma" w:hAnsi="Tahoma" w:cs="Tahoma"/>
          <w:color w:val="000000"/>
          <w:shd w:val="clear" w:color="auto" w:fill="FFFFFF"/>
        </w:rPr>
        <w:t> </w:t>
      </w:r>
      <w:r w:rsidRPr="00F27986">
        <w:rPr>
          <w:rFonts w:ascii="Tahoma" w:hAnsi="Tahoma" w:cs="Tahoma"/>
          <w:color w:val="000000"/>
          <w:shd w:val="clear" w:color="auto" w:fill="FFFFFF"/>
        </w:rPr>
        <w:t>of the</w:t>
      </w:r>
      <w:r w:rsidRPr="00F27986">
        <w:rPr>
          <w:rStyle w:val="apple-converted-space"/>
          <w:rFonts w:ascii="Tahoma" w:hAnsi="Tahoma" w:cs="Tahoma"/>
          <w:color w:val="000000"/>
          <w:shd w:val="clear" w:color="auto" w:fill="FFFFFF"/>
        </w:rPr>
        <w:t> </w:t>
      </w:r>
      <w:r w:rsidRPr="00F27986">
        <w:rPr>
          <w:rFonts w:ascii="Tahoma" w:hAnsi="Tahoma" w:cs="Tahoma"/>
          <w:color w:val="000000"/>
        </w:rPr>
        <w:t>Canadian Charter of Rights and Freedoms</w:t>
      </w:r>
      <w:r w:rsidRPr="00F27986">
        <w:rPr>
          <w:rFonts w:ascii="Tahoma" w:hAnsi="Tahoma" w:cs="Tahoma"/>
          <w:color w:val="000000"/>
          <w:shd w:val="clear" w:color="auto" w:fill="FFFFFF"/>
        </w:rPr>
        <w:t>.</w:t>
      </w:r>
    </w:p>
  </w:footnote>
  <w:footnote w:id="4">
    <w:p w:rsidR="00404B57" w:rsidRPr="00090295" w:rsidRDefault="00404B57">
      <w:pPr>
        <w:pStyle w:val="FootnoteText"/>
        <w:rPr>
          <w:rFonts w:ascii="Tahoma" w:hAnsi="Tahoma" w:cs="Tahoma"/>
          <w:lang w:val="en-US"/>
        </w:rPr>
      </w:pPr>
      <w:r>
        <w:rPr>
          <w:rStyle w:val="FootnoteReference"/>
          <w:rFonts w:ascii="Tahoma" w:hAnsi="Tahoma" w:cs="Tahoma"/>
        </w:rPr>
        <w:footnoteRef/>
      </w:r>
      <w:r w:rsidRPr="00771FE6">
        <w:rPr>
          <w:rFonts w:ascii="Tahoma" w:hAnsi="Tahoma" w:cs="Tahoma"/>
        </w:rPr>
        <w:t xml:space="preserve"> </w:t>
      </w:r>
      <w:r w:rsidRPr="00771FE6">
        <w:rPr>
          <w:rFonts w:ascii="Tahoma" w:hAnsi="Tahoma" w:cs="Tahoma"/>
          <w:lang w:val="en-US"/>
        </w:rPr>
        <w:t>Persons with disabilities were the only underrepresented group who did not report a higher rating on commitment to social responsibility than the comparison (majority) group.</w:t>
      </w:r>
      <w:r w:rsidRPr="00090295">
        <w:rPr>
          <w:rFonts w:ascii="Tahoma" w:hAnsi="Tahoma" w:cs="Tahoma"/>
          <w:lang w:val="en-US"/>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97BB2"/>
    <w:multiLevelType w:val="hybridMultilevel"/>
    <w:tmpl w:val="F6968EC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7E944BEC"/>
    <w:multiLevelType w:val="hybridMultilevel"/>
    <w:tmpl w:val="2056E1BE"/>
    <w:lvl w:ilvl="0" w:tplc="57802B58">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71E8B"/>
    <w:rsid w:val="00000718"/>
    <w:rsid w:val="00002B81"/>
    <w:rsid w:val="000068F2"/>
    <w:rsid w:val="00006CCA"/>
    <w:rsid w:val="00033BB1"/>
    <w:rsid w:val="000346BC"/>
    <w:rsid w:val="00036631"/>
    <w:rsid w:val="00040C62"/>
    <w:rsid w:val="000455FA"/>
    <w:rsid w:val="00047C90"/>
    <w:rsid w:val="00060E5A"/>
    <w:rsid w:val="00062512"/>
    <w:rsid w:val="00063061"/>
    <w:rsid w:val="000655FA"/>
    <w:rsid w:val="00066627"/>
    <w:rsid w:val="00067CB7"/>
    <w:rsid w:val="00071F8F"/>
    <w:rsid w:val="000726E1"/>
    <w:rsid w:val="000727FE"/>
    <w:rsid w:val="00077744"/>
    <w:rsid w:val="0008264C"/>
    <w:rsid w:val="00090295"/>
    <w:rsid w:val="000967C0"/>
    <w:rsid w:val="00097538"/>
    <w:rsid w:val="000A3641"/>
    <w:rsid w:val="000A3A78"/>
    <w:rsid w:val="000B0EEF"/>
    <w:rsid w:val="000B328C"/>
    <w:rsid w:val="000B584C"/>
    <w:rsid w:val="000B6D0D"/>
    <w:rsid w:val="000B7D32"/>
    <w:rsid w:val="000C504E"/>
    <w:rsid w:val="000F47A1"/>
    <w:rsid w:val="0010579C"/>
    <w:rsid w:val="0010600D"/>
    <w:rsid w:val="00106C8C"/>
    <w:rsid w:val="0011552A"/>
    <w:rsid w:val="00117AD4"/>
    <w:rsid w:val="00134E25"/>
    <w:rsid w:val="00136D23"/>
    <w:rsid w:val="001469B9"/>
    <w:rsid w:val="0014768B"/>
    <w:rsid w:val="00155AB7"/>
    <w:rsid w:val="001603AA"/>
    <w:rsid w:val="00160EE3"/>
    <w:rsid w:val="00162978"/>
    <w:rsid w:val="0016607E"/>
    <w:rsid w:val="001714FD"/>
    <w:rsid w:val="001774F0"/>
    <w:rsid w:val="00190514"/>
    <w:rsid w:val="001A529B"/>
    <w:rsid w:val="001A5CA9"/>
    <w:rsid w:val="001B01E8"/>
    <w:rsid w:val="001B392F"/>
    <w:rsid w:val="001B6199"/>
    <w:rsid w:val="001C2C3D"/>
    <w:rsid w:val="001D04FB"/>
    <w:rsid w:val="001D05C8"/>
    <w:rsid w:val="001E0899"/>
    <w:rsid w:val="001E7470"/>
    <w:rsid w:val="001F0A26"/>
    <w:rsid w:val="001F2BA1"/>
    <w:rsid w:val="002064A7"/>
    <w:rsid w:val="00211AEB"/>
    <w:rsid w:val="00212388"/>
    <w:rsid w:val="00225BAE"/>
    <w:rsid w:val="002361C8"/>
    <w:rsid w:val="002410DF"/>
    <w:rsid w:val="002513F4"/>
    <w:rsid w:val="0025193E"/>
    <w:rsid w:val="00255DC0"/>
    <w:rsid w:val="00256443"/>
    <w:rsid w:val="00264EBA"/>
    <w:rsid w:val="00271804"/>
    <w:rsid w:val="00271C0C"/>
    <w:rsid w:val="0027278E"/>
    <w:rsid w:val="00274913"/>
    <w:rsid w:val="002754FD"/>
    <w:rsid w:val="00275907"/>
    <w:rsid w:val="0027629A"/>
    <w:rsid w:val="002802C9"/>
    <w:rsid w:val="0028309A"/>
    <w:rsid w:val="002855BD"/>
    <w:rsid w:val="002930F5"/>
    <w:rsid w:val="002945F2"/>
    <w:rsid w:val="002A29B6"/>
    <w:rsid w:val="002A5D03"/>
    <w:rsid w:val="002C0CBE"/>
    <w:rsid w:val="002C7851"/>
    <w:rsid w:val="002D6C7C"/>
    <w:rsid w:val="002E630E"/>
    <w:rsid w:val="002F24EB"/>
    <w:rsid w:val="002F2B44"/>
    <w:rsid w:val="002F320A"/>
    <w:rsid w:val="00315D63"/>
    <w:rsid w:val="0031774A"/>
    <w:rsid w:val="00330EA0"/>
    <w:rsid w:val="0033547E"/>
    <w:rsid w:val="00344402"/>
    <w:rsid w:val="00353CC7"/>
    <w:rsid w:val="0036125E"/>
    <w:rsid w:val="0037582A"/>
    <w:rsid w:val="0038174B"/>
    <w:rsid w:val="00381C06"/>
    <w:rsid w:val="00385F87"/>
    <w:rsid w:val="003877D0"/>
    <w:rsid w:val="00394E13"/>
    <w:rsid w:val="003A24E3"/>
    <w:rsid w:val="003A2A98"/>
    <w:rsid w:val="003A52DE"/>
    <w:rsid w:val="003B286E"/>
    <w:rsid w:val="003B593D"/>
    <w:rsid w:val="003C30BC"/>
    <w:rsid w:val="003D498D"/>
    <w:rsid w:val="003D49B7"/>
    <w:rsid w:val="003E1BDC"/>
    <w:rsid w:val="003E24E6"/>
    <w:rsid w:val="003E3CC7"/>
    <w:rsid w:val="003E5E75"/>
    <w:rsid w:val="00404B57"/>
    <w:rsid w:val="0040559C"/>
    <w:rsid w:val="004118EA"/>
    <w:rsid w:val="00411DFA"/>
    <w:rsid w:val="00414C4B"/>
    <w:rsid w:val="0042125E"/>
    <w:rsid w:val="0042190D"/>
    <w:rsid w:val="00424BDA"/>
    <w:rsid w:val="00426B6E"/>
    <w:rsid w:val="00430A4B"/>
    <w:rsid w:val="004326FA"/>
    <w:rsid w:val="004448C2"/>
    <w:rsid w:val="004459EE"/>
    <w:rsid w:val="00454260"/>
    <w:rsid w:val="00463639"/>
    <w:rsid w:val="00463D9F"/>
    <w:rsid w:val="00477FEB"/>
    <w:rsid w:val="00482254"/>
    <w:rsid w:val="004A265D"/>
    <w:rsid w:val="004A5F37"/>
    <w:rsid w:val="004B38CB"/>
    <w:rsid w:val="004B38D2"/>
    <w:rsid w:val="004B450B"/>
    <w:rsid w:val="004B7BE7"/>
    <w:rsid w:val="004C730F"/>
    <w:rsid w:val="004D36BC"/>
    <w:rsid w:val="004D6E08"/>
    <w:rsid w:val="004D74F4"/>
    <w:rsid w:val="004E3518"/>
    <w:rsid w:val="004E4E49"/>
    <w:rsid w:val="004F0DD9"/>
    <w:rsid w:val="004F7956"/>
    <w:rsid w:val="0050326E"/>
    <w:rsid w:val="005059FE"/>
    <w:rsid w:val="00511FB0"/>
    <w:rsid w:val="00513701"/>
    <w:rsid w:val="005238D8"/>
    <w:rsid w:val="0052437E"/>
    <w:rsid w:val="005248EC"/>
    <w:rsid w:val="005277E8"/>
    <w:rsid w:val="00530577"/>
    <w:rsid w:val="005305A2"/>
    <w:rsid w:val="005453ED"/>
    <w:rsid w:val="0054798A"/>
    <w:rsid w:val="00552128"/>
    <w:rsid w:val="005538EE"/>
    <w:rsid w:val="00555C45"/>
    <w:rsid w:val="005601B9"/>
    <w:rsid w:val="00562450"/>
    <w:rsid w:val="005648FC"/>
    <w:rsid w:val="00565C8F"/>
    <w:rsid w:val="00571726"/>
    <w:rsid w:val="00574B71"/>
    <w:rsid w:val="00575D92"/>
    <w:rsid w:val="0057601C"/>
    <w:rsid w:val="0058354B"/>
    <w:rsid w:val="005943BC"/>
    <w:rsid w:val="005969E7"/>
    <w:rsid w:val="00597A72"/>
    <w:rsid w:val="005A00C7"/>
    <w:rsid w:val="005A492E"/>
    <w:rsid w:val="005B44E9"/>
    <w:rsid w:val="005C0E64"/>
    <w:rsid w:val="005C1E04"/>
    <w:rsid w:val="005C6ABB"/>
    <w:rsid w:val="005D0AB7"/>
    <w:rsid w:val="005D76B8"/>
    <w:rsid w:val="005E0F0E"/>
    <w:rsid w:val="005E35E2"/>
    <w:rsid w:val="005E3F15"/>
    <w:rsid w:val="005E533A"/>
    <w:rsid w:val="00612AD1"/>
    <w:rsid w:val="00616B39"/>
    <w:rsid w:val="006205BA"/>
    <w:rsid w:val="00621454"/>
    <w:rsid w:val="0062203D"/>
    <w:rsid w:val="00624AB6"/>
    <w:rsid w:val="006262F0"/>
    <w:rsid w:val="006308E5"/>
    <w:rsid w:val="00633591"/>
    <w:rsid w:val="00634464"/>
    <w:rsid w:val="00647A1B"/>
    <w:rsid w:val="00655656"/>
    <w:rsid w:val="006568D8"/>
    <w:rsid w:val="0065732E"/>
    <w:rsid w:val="00664234"/>
    <w:rsid w:val="006651C3"/>
    <w:rsid w:val="00666721"/>
    <w:rsid w:val="00675709"/>
    <w:rsid w:val="0067652B"/>
    <w:rsid w:val="00680F59"/>
    <w:rsid w:val="0068452E"/>
    <w:rsid w:val="0068516B"/>
    <w:rsid w:val="006931E6"/>
    <w:rsid w:val="006934D8"/>
    <w:rsid w:val="00695C2E"/>
    <w:rsid w:val="006A176D"/>
    <w:rsid w:val="006A58C8"/>
    <w:rsid w:val="006A5C4E"/>
    <w:rsid w:val="006A6218"/>
    <w:rsid w:val="006B3B09"/>
    <w:rsid w:val="006B447F"/>
    <w:rsid w:val="006B5730"/>
    <w:rsid w:val="006B66E3"/>
    <w:rsid w:val="006C1EB5"/>
    <w:rsid w:val="006C45A7"/>
    <w:rsid w:val="006C4728"/>
    <w:rsid w:val="006C4912"/>
    <w:rsid w:val="006C4D07"/>
    <w:rsid w:val="006C76A6"/>
    <w:rsid w:val="006C7DD2"/>
    <w:rsid w:val="006D24EC"/>
    <w:rsid w:val="006D45FE"/>
    <w:rsid w:val="006D5980"/>
    <w:rsid w:val="006E4D96"/>
    <w:rsid w:val="006F1576"/>
    <w:rsid w:val="007019AD"/>
    <w:rsid w:val="007347D3"/>
    <w:rsid w:val="00736755"/>
    <w:rsid w:val="0073714E"/>
    <w:rsid w:val="0073752A"/>
    <w:rsid w:val="007433A4"/>
    <w:rsid w:val="007433C9"/>
    <w:rsid w:val="007640B9"/>
    <w:rsid w:val="00770785"/>
    <w:rsid w:val="00771FE6"/>
    <w:rsid w:val="00776C0B"/>
    <w:rsid w:val="00781438"/>
    <w:rsid w:val="00786B22"/>
    <w:rsid w:val="0079253E"/>
    <w:rsid w:val="00793389"/>
    <w:rsid w:val="00796B8C"/>
    <w:rsid w:val="007A08CF"/>
    <w:rsid w:val="007A3063"/>
    <w:rsid w:val="007A3B66"/>
    <w:rsid w:val="007A4457"/>
    <w:rsid w:val="007B01D3"/>
    <w:rsid w:val="007B1B53"/>
    <w:rsid w:val="007B66C4"/>
    <w:rsid w:val="007B7DCF"/>
    <w:rsid w:val="007B7E01"/>
    <w:rsid w:val="007C026F"/>
    <w:rsid w:val="007C1B7D"/>
    <w:rsid w:val="007C3F58"/>
    <w:rsid w:val="007D4BEF"/>
    <w:rsid w:val="007E2B9C"/>
    <w:rsid w:val="007E2D17"/>
    <w:rsid w:val="007E3898"/>
    <w:rsid w:val="007E47F1"/>
    <w:rsid w:val="007E579A"/>
    <w:rsid w:val="00801079"/>
    <w:rsid w:val="008041E8"/>
    <w:rsid w:val="008229C0"/>
    <w:rsid w:val="00824A57"/>
    <w:rsid w:val="0082652D"/>
    <w:rsid w:val="008358DC"/>
    <w:rsid w:val="008363C2"/>
    <w:rsid w:val="008403B2"/>
    <w:rsid w:val="008404A4"/>
    <w:rsid w:val="00843868"/>
    <w:rsid w:val="00843D45"/>
    <w:rsid w:val="0085016E"/>
    <w:rsid w:val="00854B04"/>
    <w:rsid w:val="00854C91"/>
    <w:rsid w:val="00854FCA"/>
    <w:rsid w:val="00860EF1"/>
    <w:rsid w:val="00865259"/>
    <w:rsid w:val="00871E8B"/>
    <w:rsid w:val="00871F87"/>
    <w:rsid w:val="00881B9E"/>
    <w:rsid w:val="00881D36"/>
    <w:rsid w:val="008847F8"/>
    <w:rsid w:val="00884DA9"/>
    <w:rsid w:val="008961F5"/>
    <w:rsid w:val="008A026D"/>
    <w:rsid w:val="008A213F"/>
    <w:rsid w:val="008B7FAB"/>
    <w:rsid w:val="008C1041"/>
    <w:rsid w:val="008C62F3"/>
    <w:rsid w:val="008D3C1B"/>
    <w:rsid w:val="008D5135"/>
    <w:rsid w:val="008D599F"/>
    <w:rsid w:val="008D765D"/>
    <w:rsid w:val="008E3A3B"/>
    <w:rsid w:val="008E4309"/>
    <w:rsid w:val="008F2D47"/>
    <w:rsid w:val="008F5034"/>
    <w:rsid w:val="00901FA6"/>
    <w:rsid w:val="0090710A"/>
    <w:rsid w:val="009077D1"/>
    <w:rsid w:val="00921056"/>
    <w:rsid w:val="00921696"/>
    <w:rsid w:val="009223F6"/>
    <w:rsid w:val="009234CF"/>
    <w:rsid w:val="00925AF4"/>
    <w:rsid w:val="00931BEE"/>
    <w:rsid w:val="00933584"/>
    <w:rsid w:val="009351B5"/>
    <w:rsid w:val="00942872"/>
    <w:rsid w:val="00945023"/>
    <w:rsid w:val="00957205"/>
    <w:rsid w:val="0096733C"/>
    <w:rsid w:val="00973B0E"/>
    <w:rsid w:val="0097428B"/>
    <w:rsid w:val="009864B4"/>
    <w:rsid w:val="00990DC9"/>
    <w:rsid w:val="0099518E"/>
    <w:rsid w:val="009A47C8"/>
    <w:rsid w:val="009A67DE"/>
    <w:rsid w:val="009A7BC0"/>
    <w:rsid w:val="009B19CC"/>
    <w:rsid w:val="009B5914"/>
    <w:rsid w:val="009C1B9E"/>
    <w:rsid w:val="009C757B"/>
    <w:rsid w:val="009D4F5F"/>
    <w:rsid w:val="009D503B"/>
    <w:rsid w:val="009D6987"/>
    <w:rsid w:val="009F019B"/>
    <w:rsid w:val="009F0F0E"/>
    <w:rsid w:val="009F152F"/>
    <w:rsid w:val="009F273C"/>
    <w:rsid w:val="009F3560"/>
    <w:rsid w:val="009F41AE"/>
    <w:rsid w:val="009F4FF6"/>
    <w:rsid w:val="00A002D1"/>
    <w:rsid w:val="00A02CAD"/>
    <w:rsid w:val="00A1007C"/>
    <w:rsid w:val="00A10440"/>
    <w:rsid w:val="00A20A64"/>
    <w:rsid w:val="00A21D4D"/>
    <w:rsid w:val="00A262DB"/>
    <w:rsid w:val="00A26F64"/>
    <w:rsid w:val="00A307DC"/>
    <w:rsid w:val="00A32390"/>
    <w:rsid w:val="00A40D08"/>
    <w:rsid w:val="00A42F6C"/>
    <w:rsid w:val="00A438E9"/>
    <w:rsid w:val="00A4605E"/>
    <w:rsid w:val="00A461E9"/>
    <w:rsid w:val="00A47005"/>
    <w:rsid w:val="00A7173E"/>
    <w:rsid w:val="00A7424F"/>
    <w:rsid w:val="00A75871"/>
    <w:rsid w:val="00A80003"/>
    <w:rsid w:val="00A810B2"/>
    <w:rsid w:val="00A83345"/>
    <w:rsid w:val="00A84FCA"/>
    <w:rsid w:val="00A8649C"/>
    <w:rsid w:val="00A952AF"/>
    <w:rsid w:val="00AA4CD7"/>
    <w:rsid w:val="00AA509B"/>
    <w:rsid w:val="00AA5DF6"/>
    <w:rsid w:val="00AA6664"/>
    <w:rsid w:val="00AB4365"/>
    <w:rsid w:val="00AC40C1"/>
    <w:rsid w:val="00AC7B7F"/>
    <w:rsid w:val="00AD12C9"/>
    <w:rsid w:val="00AD2CE5"/>
    <w:rsid w:val="00AE011E"/>
    <w:rsid w:val="00AE58F2"/>
    <w:rsid w:val="00AF0DEB"/>
    <w:rsid w:val="00B10D0A"/>
    <w:rsid w:val="00B12EC7"/>
    <w:rsid w:val="00B246BC"/>
    <w:rsid w:val="00B27EB6"/>
    <w:rsid w:val="00B30EED"/>
    <w:rsid w:val="00B35F2A"/>
    <w:rsid w:val="00B365BF"/>
    <w:rsid w:val="00B4448B"/>
    <w:rsid w:val="00B51AA7"/>
    <w:rsid w:val="00B52389"/>
    <w:rsid w:val="00B572C2"/>
    <w:rsid w:val="00B61732"/>
    <w:rsid w:val="00B634C6"/>
    <w:rsid w:val="00B63813"/>
    <w:rsid w:val="00B64045"/>
    <w:rsid w:val="00B70009"/>
    <w:rsid w:val="00B81332"/>
    <w:rsid w:val="00B82508"/>
    <w:rsid w:val="00B84AFE"/>
    <w:rsid w:val="00B9229A"/>
    <w:rsid w:val="00B935E0"/>
    <w:rsid w:val="00B96D6E"/>
    <w:rsid w:val="00BA05F2"/>
    <w:rsid w:val="00BA4531"/>
    <w:rsid w:val="00BB4CFC"/>
    <w:rsid w:val="00BB5B34"/>
    <w:rsid w:val="00BC149F"/>
    <w:rsid w:val="00BC22F7"/>
    <w:rsid w:val="00BC7893"/>
    <w:rsid w:val="00BD29CF"/>
    <w:rsid w:val="00BD4ECC"/>
    <w:rsid w:val="00BD5433"/>
    <w:rsid w:val="00BD7CD7"/>
    <w:rsid w:val="00BE0E54"/>
    <w:rsid w:val="00BE23A8"/>
    <w:rsid w:val="00BF267C"/>
    <w:rsid w:val="00C00BFE"/>
    <w:rsid w:val="00C02B4A"/>
    <w:rsid w:val="00C07D82"/>
    <w:rsid w:val="00C10571"/>
    <w:rsid w:val="00C15364"/>
    <w:rsid w:val="00C22313"/>
    <w:rsid w:val="00C3027A"/>
    <w:rsid w:val="00C314BB"/>
    <w:rsid w:val="00C4704A"/>
    <w:rsid w:val="00C512F8"/>
    <w:rsid w:val="00C555B4"/>
    <w:rsid w:val="00C55F96"/>
    <w:rsid w:val="00C61624"/>
    <w:rsid w:val="00C62789"/>
    <w:rsid w:val="00C63AD1"/>
    <w:rsid w:val="00C66210"/>
    <w:rsid w:val="00C67A91"/>
    <w:rsid w:val="00C753FD"/>
    <w:rsid w:val="00C777B6"/>
    <w:rsid w:val="00C85D04"/>
    <w:rsid w:val="00C96CD4"/>
    <w:rsid w:val="00CA6410"/>
    <w:rsid w:val="00CB394B"/>
    <w:rsid w:val="00CC5F9A"/>
    <w:rsid w:val="00CD1489"/>
    <w:rsid w:val="00CD5D02"/>
    <w:rsid w:val="00CE04B7"/>
    <w:rsid w:val="00CE2737"/>
    <w:rsid w:val="00CE2B90"/>
    <w:rsid w:val="00CF6475"/>
    <w:rsid w:val="00D174DE"/>
    <w:rsid w:val="00D203BE"/>
    <w:rsid w:val="00D2682F"/>
    <w:rsid w:val="00D36995"/>
    <w:rsid w:val="00D511F8"/>
    <w:rsid w:val="00D52B8C"/>
    <w:rsid w:val="00D56323"/>
    <w:rsid w:val="00D57731"/>
    <w:rsid w:val="00D57E4D"/>
    <w:rsid w:val="00D66851"/>
    <w:rsid w:val="00D67888"/>
    <w:rsid w:val="00D70E5F"/>
    <w:rsid w:val="00D72BDE"/>
    <w:rsid w:val="00D81F6A"/>
    <w:rsid w:val="00D86D57"/>
    <w:rsid w:val="00D94A15"/>
    <w:rsid w:val="00DA330A"/>
    <w:rsid w:val="00DA41CD"/>
    <w:rsid w:val="00DA56A2"/>
    <w:rsid w:val="00DB1581"/>
    <w:rsid w:val="00DB1D26"/>
    <w:rsid w:val="00DB2DD1"/>
    <w:rsid w:val="00DB2FFF"/>
    <w:rsid w:val="00DB639D"/>
    <w:rsid w:val="00DB6916"/>
    <w:rsid w:val="00DC66B5"/>
    <w:rsid w:val="00DD038D"/>
    <w:rsid w:val="00DD5848"/>
    <w:rsid w:val="00DD6F8B"/>
    <w:rsid w:val="00DE3154"/>
    <w:rsid w:val="00DE353E"/>
    <w:rsid w:val="00DE3600"/>
    <w:rsid w:val="00DE7AD2"/>
    <w:rsid w:val="00DF467A"/>
    <w:rsid w:val="00DF6569"/>
    <w:rsid w:val="00E00FC5"/>
    <w:rsid w:val="00E0661C"/>
    <w:rsid w:val="00E20C8F"/>
    <w:rsid w:val="00E20FF3"/>
    <w:rsid w:val="00E233C5"/>
    <w:rsid w:val="00E242A1"/>
    <w:rsid w:val="00E304F4"/>
    <w:rsid w:val="00E33606"/>
    <w:rsid w:val="00E35F14"/>
    <w:rsid w:val="00E4027B"/>
    <w:rsid w:val="00E41987"/>
    <w:rsid w:val="00E47648"/>
    <w:rsid w:val="00E55254"/>
    <w:rsid w:val="00E562EA"/>
    <w:rsid w:val="00E603BC"/>
    <w:rsid w:val="00E60AE8"/>
    <w:rsid w:val="00E73417"/>
    <w:rsid w:val="00E7366A"/>
    <w:rsid w:val="00E75B0A"/>
    <w:rsid w:val="00E76395"/>
    <w:rsid w:val="00E86E29"/>
    <w:rsid w:val="00E94899"/>
    <w:rsid w:val="00E94BD6"/>
    <w:rsid w:val="00E95E3A"/>
    <w:rsid w:val="00EA0BB1"/>
    <w:rsid w:val="00EA0D4C"/>
    <w:rsid w:val="00EA35DF"/>
    <w:rsid w:val="00EA5C6B"/>
    <w:rsid w:val="00EB5B00"/>
    <w:rsid w:val="00EB72C3"/>
    <w:rsid w:val="00EC1B8C"/>
    <w:rsid w:val="00ED0840"/>
    <w:rsid w:val="00ED0D27"/>
    <w:rsid w:val="00ED408E"/>
    <w:rsid w:val="00ED7616"/>
    <w:rsid w:val="00EE2463"/>
    <w:rsid w:val="00EE7994"/>
    <w:rsid w:val="00EF0A57"/>
    <w:rsid w:val="00EF578A"/>
    <w:rsid w:val="00F02D3A"/>
    <w:rsid w:val="00F054F3"/>
    <w:rsid w:val="00F105FA"/>
    <w:rsid w:val="00F1110B"/>
    <w:rsid w:val="00F11352"/>
    <w:rsid w:val="00F11BFF"/>
    <w:rsid w:val="00F121D2"/>
    <w:rsid w:val="00F1243F"/>
    <w:rsid w:val="00F126FF"/>
    <w:rsid w:val="00F211D0"/>
    <w:rsid w:val="00F23132"/>
    <w:rsid w:val="00F27986"/>
    <w:rsid w:val="00F27998"/>
    <w:rsid w:val="00F34517"/>
    <w:rsid w:val="00F41354"/>
    <w:rsid w:val="00F452C1"/>
    <w:rsid w:val="00F45E80"/>
    <w:rsid w:val="00F46DF0"/>
    <w:rsid w:val="00F51830"/>
    <w:rsid w:val="00F63AC9"/>
    <w:rsid w:val="00F70E54"/>
    <w:rsid w:val="00F70F43"/>
    <w:rsid w:val="00F75963"/>
    <w:rsid w:val="00F767BB"/>
    <w:rsid w:val="00F775CC"/>
    <w:rsid w:val="00F826E4"/>
    <w:rsid w:val="00F913C5"/>
    <w:rsid w:val="00FA397D"/>
    <w:rsid w:val="00FA44BC"/>
    <w:rsid w:val="00FC0CD7"/>
    <w:rsid w:val="00FC16C9"/>
    <w:rsid w:val="00FC2782"/>
    <w:rsid w:val="00FD0C14"/>
    <w:rsid w:val="00FD47AB"/>
    <w:rsid w:val="00FD4A46"/>
    <w:rsid w:val="00FD4C50"/>
    <w:rsid w:val="00FD5827"/>
    <w:rsid w:val="00FE0A75"/>
    <w:rsid w:val="00FE2690"/>
    <w:rsid w:val="00FE6650"/>
    <w:rsid w:val="00FE7A62"/>
    <w:rsid w:val="00FF553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98D"/>
  </w:style>
  <w:style w:type="paragraph" w:styleId="Heading1">
    <w:name w:val="heading 1"/>
    <w:basedOn w:val="Normal"/>
    <w:link w:val="Heading1Char"/>
    <w:uiPriority w:val="9"/>
    <w:qFormat/>
    <w:rsid w:val="006205B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1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1E8B"/>
    <w:pPr>
      <w:ind w:left="720"/>
      <w:contextualSpacing/>
    </w:pPr>
  </w:style>
  <w:style w:type="character" w:styleId="Hyperlink">
    <w:name w:val="Hyperlink"/>
    <w:basedOn w:val="DefaultParagraphFont"/>
    <w:uiPriority w:val="99"/>
    <w:unhideWhenUsed/>
    <w:rsid w:val="006205BA"/>
    <w:rPr>
      <w:color w:val="0000FF" w:themeColor="hyperlink"/>
      <w:u w:val="single"/>
    </w:rPr>
  </w:style>
  <w:style w:type="character" w:customStyle="1" w:styleId="Heading1Char">
    <w:name w:val="Heading 1 Char"/>
    <w:basedOn w:val="DefaultParagraphFont"/>
    <w:link w:val="Heading1"/>
    <w:uiPriority w:val="9"/>
    <w:rsid w:val="006205BA"/>
    <w:rPr>
      <w:rFonts w:ascii="Times New Roman" w:eastAsia="Times New Roman" w:hAnsi="Times New Roman" w:cs="Times New Roman"/>
      <w:b/>
      <w:bCs/>
      <w:kern w:val="36"/>
      <w:sz w:val="48"/>
      <w:szCs w:val="48"/>
      <w:lang w:eastAsia="en-CA"/>
    </w:rPr>
  </w:style>
  <w:style w:type="paragraph" w:styleId="Header">
    <w:name w:val="header"/>
    <w:basedOn w:val="Normal"/>
    <w:link w:val="HeaderChar"/>
    <w:uiPriority w:val="99"/>
    <w:semiHidden/>
    <w:unhideWhenUsed/>
    <w:rsid w:val="00F63A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63AC9"/>
  </w:style>
  <w:style w:type="paragraph" w:styleId="Footer">
    <w:name w:val="footer"/>
    <w:basedOn w:val="Normal"/>
    <w:link w:val="FooterChar"/>
    <w:unhideWhenUsed/>
    <w:rsid w:val="00F63A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3AC9"/>
  </w:style>
  <w:style w:type="paragraph" w:customStyle="1" w:styleId="Default">
    <w:name w:val="Default"/>
    <w:rsid w:val="0033547E"/>
    <w:pPr>
      <w:autoSpaceDE w:val="0"/>
      <w:autoSpaceDN w:val="0"/>
      <w:adjustRightInd w:val="0"/>
      <w:spacing w:after="0" w:line="240" w:lineRule="auto"/>
    </w:pPr>
    <w:rPr>
      <w:rFonts w:ascii="Cambria" w:hAnsi="Cambria" w:cs="Cambria"/>
      <w:color w:val="000000"/>
      <w:sz w:val="24"/>
      <w:szCs w:val="24"/>
    </w:rPr>
  </w:style>
  <w:style w:type="character" w:customStyle="1" w:styleId="apple-converted-space">
    <w:name w:val="apple-converted-space"/>
    <w:basedOn w:val="DefaultParagraphFont"/>
    <w:rsid w:val="00CE2B90"/>
  </w:style>
  <w:style w:type="paragraph" w:styleId="NormalWeb">
    <w:name w:val="Normal (Web)"/>
    <w:basedOn w:val="Normal"/>
    <w:uiPriority w:val="99"/>
    <w:unhideWhenUsed/>
    <w:rsid w:val="00CE2B9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slug-pub-date">
    <w:name w:val="slug-pub-date"/>
    <w:basedOn w:val="DefaultParagraphFont"/>
    <w:rsid w:val="00E4027B"/>
  </w:style>
  <w:style w:type="character" w:customStyle="1" w:styleId="slug-vol">
    <w:name w:val="slug-vol"/>
    <w:basedOn w:val="DefaultParagraphFont"/>
    <w:rsid w:val="00E4027B"/>
  </w:style>
  <w:style w:type="character" w:customStyle="1" w:styleId="slug-issue">
    <w:name w:val="slug-issue"/>
    <w:basedOn w:val="DefaultParagraphFont"/>
    <w:rsid w:val="00E4027B"/>
  </w:style>
  <w:style w:type="character" w:customStyle="1" w:styleId="slug-pages">
    <w:name w:val="slug-pages"/>
    <w:basedOn w:val="DefaultParagraphFont"/>
    <w:rsid w:val="00E4027B"/>
  </w:style>
  <w:style w:type="paragraph" w:styleId="FootnoteText">
    <w:name w:val="footnote text"/>
    <w:basedOn w:val="Normal"/>
    <w:link w:val="FootnoteTextChar"/>
    <w:uiPriority w:val="99"/>
    <w:semiHidden/>
    <w:unhideWhenUsed/>
    <w:rsid w:val="003A52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52DE"/>
    <w:rPr>
      <w:sz w:val="20"/>
      <w:szCs w:val="20"/>
    </w:rPr>
  </w:style>
  <w:style w:type="character" w:styleId="FootnoteReference">
    <w:name w:val="footnote reference"/>
    <w:basedOn w:val="DefaultParagraphFont"/>
    <w:uiPriority w:val="99"/>
    <w:semiHidden/>
    <w:unhideWhenUsed/>
    <w:rsid w:val="003A52DE"/>
    <w:rPr>
      <w:vertAlign w:val="superscript"/>
    </w:rPr>
  </w:style>
  <w:style w:type="paragraph" w:styleId="BodyText3">
    <w:name w:val="Body Text 3"/>
    <w:basedOn w:val="Normal"/>
    <w:link w:val="BodyText3Char"/>
    <w:rsid w:val="006A5C4E"/>
    <w:pPr>
      <w:spacing w:after="0" w:line="480" w:lineRule="auto"/>
      <w:jc w:val="center"/>
    </w:pPr>
    <w:rPr>
      <w:rFonts w:ascii="Times New Roman" w:eastAsia="Times New Roman" w:hAnsi="Times New Roman" w:cs="Times New Roman"/>
      <w:sz w:val="24"/>
      <w:szCs w:val="20"/>
      <w:lang w:val="en-US"/>
    </w:rPr>
  </w:style>
  <w:style w:type="character" w:customStyle="1" w:styleId="BodyText3Char">
    <w:name w:val="Body Text 3 Char"/>
    <w:basedOn w:val="DefaultParagraphFont"/>
    <w:link w:val="BodyText3"/>
    <w:rsid w:val="006A5C4E"/>
    <w:rPr>
      <w:rFonts w:ascii="Times New Roman" w:eastAsia="Times New Roman" w:hAnsi="Times New Roman" w:cs="Times New Roman"/>
      <w:sz w:val="24"/>
      <w:szCs w:val="20"/>
      <w:lang w:val="en-US"/>
    </w:rPr>
  </w:style>
  <w:style w:type="paragraph" w:styleId="BalloonText">
    <w:name w:val="Balloon Text"/>
    <w:basedOn w:val="Normal"/>
    <w:link w:val="BalloonTextChar"/>
    <w:uiPriority w:val="99"/>
    <w:semiHidden/>
    <w:unhideWhenUsed/>
    <w:rsid w:val="009D69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987"/>
    <w:rPr>
      <w:rFonts w:ascii="Tahoma" w:hAnsi="Tahoma" w:cs="Tahoma"/>
      <w:sz w:val="16"/>
      <w:szCs w:val="16"/>
    </w:rPr>
  </w:style>
  <w:style w:type="character" w:customStyle="1" w:styleId="mw-headline">
    <w:name w:val="mw-headline"/>
    <w:basedOn w:val="DefaultParagraphFont"/>
    <w:rsid w:val="000B7D32"/>
  </w:style>
  <w:style w:type="paragraph" w:styleId="BodyTextIndent">
    <w:name w:val="Body Text Indent"/>
    <w:basedOn w:val="Normal"/>
    <w:link w:val="BodyTextIndentChar"/>
    <w:uiPriority w:val="99"/>
    <w:unhideWhenUsed/>
    <w:rsid w:val="00C55F96"/>
    <w:pPr>
      <w:spacing w:after="120"/>
      <w:ind w:left="360"/>
    </w:pPr>
  </w:style>
  <w:style w:type="character" w:customStyle="1" w:styleId="BodyTextIndentChar">
    <w:name w:val="Body Text Indent Char"/>
    <w:basedOn w:val="DefaultParagraphFont"/>
    <w:link w:val="BodyTextIndent"/>
    <w:uiPriority w:val="99"/>
    <w:rsid w:val="00C55F96"/>
  </w:style>
  <w:style w:type="character" w:styleId="CommentReference">
    <w:name w:val="annotation reference"/>
    <w:basedOn w:val="DefaultParagraphFont"/>
    <w:uiPriority w:val="99"/>
    <w:semiHidden/>
    <w:unhideWhenUsed/>
    <w:rsid w:val="008D765D"/>
    <w:rPr>
      <w:sz w:val="16"/>
      <w:szCs w:val="16"/>
    </w:rPr>
  </w:style>
  <w:style w:type="paragraph" w:styleId="CommentText">
    <w:name w:val="annotation text"/>
    <w:basedOn w:val="Normal"/>
    <w:link w:val="CommentTextChar"/>
    <w:uiPriority w:val="99"/>
    <w:semiHidden/>
    <w:unhideWhenUsed/>
    <w:rsid w:val="008D765D"/>
    <w:pPr>
      <w:spacing w:line="240" w:lineRule="auto"/>
    </w:pPr>
    <w:rPr>
      <w:sz w:val="20"/>
      <w:szCs w:val="20"/>
    </w:rPr>
  </w:style>
  <w:style w:type="character" w:customStyle="1" w:styleId="CommentTextChar">
    <w:name w:val="Comment Text Char"/>
    <w:basedOn w:val="DefaultParagraphFont"/>
    <w:link w:val="CommentText"/>
    <w:uiPriority w:val="99"/>
    <w:semiHidden/>
    <w:rsid w:val="008D765D"/>
    <w:rPr>
      <w:sz w:val="20"/>
      <w:szCs w:val="20"/>
    </w:rPr>
  </w:style>
  <w:style w:type="paragraph" w:styleId="CommentSubject">
    <w:name w:val="annotation subject"/>
    <w:basedOn w:val="CommentText"/>
    <w:next w:val="CommentText"/>
    <w:link w:val="CommentSubjectChar"/>
    <w:uiPriority w:val="99"/>
    <w:semiHidden/>
    <w:unhideWhenUsed/>
    <w:rsid w:val="008D765D"/>
    <w:rPr>
      <w:b/>
      <w:bCs/>
    </w:rPr>
  </w:style>
  <w:style w:type="character" w:customStyle="1" w:styleId="CommentSubjectChar">
    <w:name w:val="Comment Subject Char"/>
    <w:basedOn w:val="CommentTextChar"/>
    <w:link w:val="CommentSubject"/>
    <w:uiPriority w:val="99"/>
    <w:semiHidden/>
    <w:rsid w:val="008D765D"/>
    <w:rPr>
      <w:b/>
      <w:bCs/>
    </w:rPr>
  </w:style>
</w:styles>
</file>

<file path=word/webSettings.xml><?xml version="1.0" encoding="utf-8"?>
<w:webSettings xmlns:r="http://schemas.openxmlformats.org/officeDocument/2006/relationships" xmlns:w="http://schemas.openxmlformats.org/wordprocessingml/2006/main">
  <w:divs>
    <w:div w:id="17588674">
      <w:bodyDiv w:val="1"/>
      <w:marLeft w:val="0"/>
      <w:marRight w:val="0"/>
      <w:marTop w:val="0"/>
      <w:marBottom w:val="0"/>
      <w:divBdr>
        <w:top w:val="none" w:sz="0" w:space="0" w:color="auto"/>
        <w:left w:val="none" w:sz="0" w:space="0" w:color="auto"/>
        <w:bottom w:val="none" w:sz="0" w:space="0" w:color="auto"/>
        <w:right w:val="none" w:sz="0" w:space="0" w:color="auto"/>
      </w:divBdr>
    </w:div>
    <w:div w:id="359665460">
      <w:bodyDiv w:val="1"/>
      <w:marLeft w:val="0"/>
      <w:marRight w:val="0"/>
      <w:marTop w:val="0"/>
      <w:marBottom w:val="0"/>
      <w:divBdr>
        <w:top w:val="none" w:sz="0" w:space="0" w:color="auto"/>
        <w:left w:val="none" w:sz="0" w:space="0" w:color="auto"/>
        <w:bottom w:val="none" w:sz="0" w:space="0" w:color="auto"/>
        <w:right w:val="none" w:sz="0" w:space="0" w:color="auto"/>
      </w:divBdr>
    </w:div>
    <w:div w:id="477191673">
      <w:bodyDiv w:val="1"/>
      <w:marLeft w:val="0"/>
      <w:marRight w:val="0"/>
      <w:marTop w:val="0"/>
      <w:marBottom w:val="0"/>
      <w:divBdr>
        <w:top w:val="none" w:sz="0" w:space="0" w:color="auto"/>
        <w:left w:val="none" w:sz="0" w:space="0" w:color="auto"/>
        <w:bottom w:val="none" w:sz="0" w:space="0" w:color="auto"/>
        <w:right w:val="none" w:sz="0" w:space="0" w:color="auto"/>
      </w:divBdr>
    </w:div>
    <w:div w:id="560530441">
      <w:bodyDiv w:val="1"/>
      <w:marLeft w:val="0"/>
      <w:marRight w:val="0"/>
      <w:marTop w:val="0"/>
      <w:marBottom w:val="0"/>
      <w:divBdr>
        <w:top w:val="none" w:sz="0" w:space="0" w:color="auto"/>
        <w:left w:val="none" w:sz="0" w:space="0" w:color="auto"/>
        <w:bottom w:val="none" w:sz="0" w:space="0" w:color="auto"/>
        <w:right w:val="none" w:sz="0" w:space="0" w:color="auto"/>
      </w:divBdr>
    </w:div>
    <w:div w:id="612513271">
      <w:bodyDiv w:val="1"/>
      <w:marLeft w:val="0"/>
      <w:marRight w:val="0"/>
      <w:marTop w:val="0"/>
      <w:marBottom w:val="0"/>
      <w:divBdr>
        <w:top w:val="none" w:sz="0" w:space="0" w:color="auto"/>
        <w:left w:val="none" w:sz="0" w:space="0" w:color="auto"/>
        <w:bottom w:val="none" w:sz="0" w:space="0" w:color="auto"/>
        <w:right w:val="none" w:sz="0" w:space="0" w:color="auto"/>
      </w:divBdr>
    </w:div>
    <w:div w:id="679160096">
      <w:bodyDiv w:val="1"/>
      <w:marLeft w:val="0"/>
      <w:marRight w:val="0"/>
      <w:marTop w:val="0"/>
      <w:marBottom w:val="0"/>
      <w:divBdr>
        <w:top w:val="none" w:sz="0" w:space="0" w:color="auto"/>
        <w:left w:val="none" w:sz="0" w:space="0" w:color="auto"/>
        <w:bottom w:val="none" w:sz="0" w:space="0" w:color="auto"/>
        <w:right w:val="none" w:sz="0" w:space="0" w:color="auto"/>
      </w:divBdr>
    </w:div>
    <w:div w:id="684478200">
      <w:bodyDiv w:val="1"/>
      <w:marLeft w:val="0"/>
      <w:marRight w:val="0"/>
      <w:marTop w:val="0"/>
      <w:marBottom w:val="0"/>
      <w:divBdr>
        <w:top w:val="none" w:sz="0" w:space="0" w:color="auto"/>
        <w:left w:val="none" w:sz="0" w:space="0" w:color="auto"/>
        <w:bottom w:val="none" w:sz="0" w:space="0" w:color="auto"/>
        <w:right w:val="none" w:sz="0" w:space="0" w:color="auto"/>
      </w:divBdr>
    </w:div>
    <w:div w:id="838621751">
      <w:bodyDiv w:val="1"/>
      <w:marLeft w:val="0"/>
      <w:marRight w:val="0"/>
      <w:marTop w:val="0"/>
      <w:marBottom w:val="0"/>
      <w:divBdr>
        <w:top w:val="none" w:sz="0" w:space="0" w:color="auto"/>
        <w:left w:val="none" w:sz="0" w:space="0" w:color="auto"/>
        <w:bottom w:val="none" w:sz="0" w:space="0" w:color="auto"/>
        <w:right w:val="none" w:sz="0" w:space="0" w:color="auto"/>
      </w:divBdr>
    </w:div>
    <w:div w:id="983318131">
      <w:bodyDiv w:val="1"/>
      <w:marLeft w:val="0"/>
      <w:marRight w:val="0"/>
      <w:marTop w:val="0"/>
      <w:marBottom w:val="0"/>
      <w:divBdr>
        <w:top w:val="none" w:sz="0" w:space="0" w:color="auto"/>
        <w:left w:val="none" w:sz="0" w:space="0" w:color="auto"/>
        <w:bottom w:val="none" w:sz="0" w:space="0" w:color="auto"/>
        <w:right w:val="none" w:sz="0" w:space="0" w:color="auto"/>
      </w:divBdr>
    </w:div>
    <w:div w:id="1056123153">
      <w:bodyDiv w:val="1"/>
      <w:marLeft w:val="0"/>
      <w:marRight w:val="0"/>
      <w:marTop w:val="0"/>
      <w:marBottom w:val="0"/>
      <w:divBdr>
        <w:top w:val="none" w:sz="0" w:space="0" w:color="auto"/>
        <w:left w:val="none" w:sz="0" w:space="0" w:color="auto"/>
        <w:bottom w:val="none" w:sz="0" w:space="0" w:color="auto"/>
        <w:right w:val="none" w:sz="0" w:space="0" w:color="auto"/>
      </w:divBdr>
    </w:div>
    <w:div w:id="1157963178">
      <w:bodyDiv w:val="1"/>
      <w:marLeft w:val="0"/>
      <w:marRight w:val="0"/>
      <w:marTop w:val="0"/>
      <w:marBottom w:val="0"/>
      <w:divBdr>
        <w:top w:val="none" w:sz="0" w:space="0" w:color="auto"/>
        <w:left w:val="none" w:sz="0" w:space="0" w:color="auto"/>
        <w:bottom w:val="none" w:sz="0" w:space="0" w:color="auto"/>
        <w:right w:val="none" w:sz="0" w:space="0" w:color="auto"/>
      </w:divBdr>
    </w:div>
    <w:div w:id="1259411373">
      <w:bodyDiv w:val="1"/>
      <w:marLeft w:val="0"/>
      <w:marRight w:val="0"/>
      <w:marTop w:val="0"/>
      <w:marBottom w:val="0"/>
      <w:divBdr>
        <w:top w:val="none" w:sz="0" w:space="0" w:color="auto"/>
        <w:left w:val="none" w:sz="0" w:space="0" w:color="auto"/>
        <w:bottom w:val="none" w:sz="0" w:space="0" w:color="auto"/>
        <w:right w:val="none" w:sz="0" w:space="0" w:color="auto"/>
      </w:divBdr>
      <w:divsChild>
        <w:div w:id="518084933">
          <w:marLeft w:val="0"/>
          <w:marRight w:val="0"/>
          <w:marTop w:val="0"/>
          <w:marBottom w:val="0"/>
          <w:divBdr>
            <w:top w:val="none" w:sz="0" w:space="0" w:color="auto"/>
            <w:left w:val="none" w:sz="0" w:space="0" w:color="auto"/>
            <w:bottom w:val="none" w:sz="0" w:space="0" w:color="auto"/>
            <w:right w:val="none" w:sz="0" w:space="0" w:color="auto"/>
          </w:divBdr>
        </w:div>
        <w:div w:id="1046681548">
          <w:marLeft w:val="0"/>
          <w:marRight w:val="0"/>
          <w:marTop w:val="0"/>
          <w:marBottom w:val="0"/>
          <w:divBdr>
            <w:top w:val="none" w:sz="0" w:space="0" w:color="auto"/>
            <w:left w:val="none" w:sz="0" w:space="0" w:color="auto"/>
            <w:bottom w:val="none" w:sz="0" w:space="0" w:color="auto"/>
            <w:right w:val="none" w:sz="0" w:space="0" w:color="auto"/>
          </w:divBdr>
        </w:div>
        <w:div w:id="48459395">
          <w:marLeft w:val="0"/>
          <w:marRight w:val="0"/>
          <w:marTop w:val="167"/>
          <w:marBottom w:val="167"/>
          <w:divBdr>
            <w:top w:val="single" w:sz="6" w:space="1" w:color="D0C7AF"/>
            <w:left w:val="none" w:sz="0" w:space="0" w:color="auto"/>
            <w:bottom w:val="single" w:sz="6" w:space="1" w:color="D0C7AF"/>
            <w:right w:val="none" w:sz="0" w:space="0" w:color="auto"/>
          </w:divBdr>
        </w:div>
      </w:divsChild>
    </w:div>
    <w:div w:id="1343822692">
      <w:bodyDiv w:val="1"/>
      <w:marLeft w:val="0"/>
      <w:marRight w:val="0"/>
      <w:marTop w:val="0"/>
      <w:marBottom w:val="0"/>
      <w:divBdr>
        <w:top w:val="none" w:sz="0" w:space="0" w:color="auto"/>
        <w:left w:val="none" w:sz="0" w:space="0" w:color="auto"/>
        <w:bottom w:val="none" w:sz="0" w:space="0" w:color="auto"/>
        <w:right w:val="none" w:sz="0" w:space="0" w:color="auto"/>
      </w:divBdr>
    </w:div>
    <w:div w:id="1629628152">
      <w:bodyDiv w:val="1"/>
      <w:marLeft w:val="0"/>
      <w:marRight w:val="0"/>
      <w:marTop w:val="0"/>
      <w:marBottom w:val="0"/>
      <w:divBdr>
        <w:top w:val="none" w:sz="0" w:space="0" w:color="auto"/>
        <w:left w:val="none" w:sz="0" w:space="0" w:color="auto"/>
        <w:bottom w:val="none" w:sz="0" w:space="0" w:color="auto"/>
        <w:right w:val="none" w:sz="0" w:space="0" w:color="auto"/>
      </w:divBdr>
    </w:div>
    <w:div w:id="171962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e.jhu.edu/results?section1=author&amp;search1=C.%20G.%20K.%20Atkins" TargetMode="External"/><Relationship Id="rId13" Type="http://schemas.openxmlformats.org/officeDocument/2006/relationships/hyperlink" Target="http://www.theglobeandmail.com/report-on-business/economy/economy-lab/does-canada-have-a-labour-shortage-or-a-skills-shortage/article599221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rsdc.gc.ca/eng/labour/equality/employment_equity/tools/annual_reports/2010/page00.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c.gc.ca/english/pdf/research-stats/facts2010.pdf" TargetMode="External"/><Relationship Id="rId5" Type="http://schemas.openxmlformats.org/officeDocument/2006/relationships/webSettings" Target="webSettings.xml"/><Relationship Id="rId15" Type="http://schemas.openxmlformats.org/officeDocument/2006/relationships/hyperlink" Target="http://www.statcan.gc.ca/pub/11-010-x/2011008/part-partie3-eng.htm" TargetMode="External"/><Relationship Id="rId10" Type="http://schemas.openxmlformats.org/officeDocument/2006/relationships/hyperlink" Target="http://www.clbc.ca/files/reports/immigration_handbook.pdf" TargetMode="External"/><Relationship Id="rId4" Type="http://schemas.openxmlformats.org/officeDocument/2006/relationships/settings" Target="settings.xml"/><Relationship Id="rId9" Type="http://schemas.openxmlformats.org/officeDocument/2006/relationships/hyperlink" Target="http://action.web.ca/home/narcc/attach/Addressing%20Systemic%20Racial%20Discrimination%20in%20Employment-%20Health%20Canada%20Case.pdf" TargetMode="External"/><Relationship Id="rId14" Type="http://schemas.openxmlformats.org/officeDocument/2006/relationships/hyperlink" Target="http://www.psc-cfp.gc.ca/plcy-pltq/eead-eeed/rprt/ee-psc-cfp/pdf/ee-psc-cfp-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A2109-29F7-46DC-92E0-63FE52BF8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9024</Words>
  <Characters>51439</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 Ng</dc:creator>
  <cp:lastModifiedBy>Eddy Ng</cp:lastModifiedBy>
  <cp:revision>5</cp:revision>
  <cp:lastPrinted>2013-01-24T19:14:00Z</cp:lastPrinted>
  <dcterms:created xsi:type="dcterms:W3CDTF">2013-01-28T14:21:00Z</dcterms:created>
  <dcterms:modified xsi:type="dcterms:W3CDTF">2013-01-28T14:34:00Z</dcterms:modified>
</cp:coreProperties>
</file>